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tabs>
          <w:tab w:val="left" w:pos="0"/>
        </w:tabs>
        <w:spacing w:before="156" w:beforeLines="50" w:after="156" w:afterLines="50" w:line="580" w:lineRule="exact"/>
        <w:ind w:firstLineChars="0"/>
        <w:jc w:val="left"/>
        <w:outlineLvl w:val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知识产权</w:t>
      </w:r>
    </w:p>
    <w:p>
      <w:pPr>
        <w:spacing w:line="56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依托项目成果，团队共申请发明专利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项，详情如下。</w:t>
      </w:r>
      <w:r>
        <w:rPr>
          <w:rFonts w:ascii="宋体" w:hAnsi="宋体"/>
          <w:sz w:val="24"/>
        </w:rPr>
        <w:t xml:space="preserve"> </w:t>
      </w:r>
    </w:p>
    <w:p>
      <w:pPr>
        <w:spacing w:before="156" w:beforeLines="50" w:after="156" w:afterLines="50" w:line="560" w:lineRule="exac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（1）一种台区线损精益化防窃电监控系统及方法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02835" cy="6960235"/>
            <wp:effectExtent l="88900" t="88900" r="94615" b="946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875" cy="69648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br w:type="page"/>
      </w:r>
    </w:p>
    <w:p>
      <w:pPr>
        <w:spacing w:before="156" w:beforeLines="50" w:after="156" w:afterLines="50" w:line="560" w:lineRule="exac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</w:t>
      </w: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）一种用于计量箱的多维可视化监控装置</w:t>
      </w:r>
    </w:p>
    <w:p>
      <w:pPr>
        <w:spacing w:before="156" w:beforeLines="50" w:after="156" w:afterLines="5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7464425"/>
            <wp:effectExtent l="88900" t="88900" r="104140" b="1047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rPr>
          <w:rFonts w:ascii="宋体" w:hAnsi="宋体"/>
          <w:b/>
          <w:sz w:val="24"/>
        </w:rPr>
      </w:pPr>
    </w:p>
    <w:p>
      <w:pPr>
        <w:spacing w:before="156" w:beforeLines="50" w:after="156" w:afterLines="50" w:line="560" w:lineRule="exac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</w:t>
      </w:r>
      <w:r>
        <w:rPr>
          <w:rFonts w:ascii="宋体" w:hAnsi="宋体"/>
          <w:b/>
          <w:sz w:val="24"/>
        </w:rPr>
        <w:t>3</w:t>
      </w:r>
      <w:r>
        <w:rPr>
          <w:rFonts w:hint="eastAsia" w:ascii="宋体" w:hAnsi="宋体"/>
          <w:b/>
          <w:sz w:val="24"/>
        </w:rPr>
        <w:t>）一种用于计量箱的数字智能物联防窃电装置</w:t>
      </w:r>
    </w:p>
    <w:p>
      <w:pPr>
        <w:spacing w:before="156" w:beforeLines="50" w:after="156" w:afterLines="5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7437120"/>
            <wp:effectExtent l="88900" t="88900" r="104140" b="939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/>
          <w:sz w:val="24"/>
        </w:rPr>
      </w:pPr>
    </w:p>
    <w:p>
      <w:pPr>
        <w:pStyle w:val="5"/>
        <w:numPr>
          <w:ilvl w:val="0"/>
          <w:numId w:val="1"/>
        </w:numPr>
        <w:tabs>
          <w:tab w:val="left" w:pos="0"/>
        </w:tabs>
        <w:spacing w:before="156" w:beforeLines="50" w:after="156" w:afterLines="50" w:line="580" w:lineRule="exact"/>
        <w:ind w:firstLineChars="0"/>
        <w:jc w:val="left"/>
        <w:outlineLvl w:val="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检测证书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93310" cy="6924675"/>
            <wp:effectExtent l="9525" t="9525" r="12065" b="1905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1337" cy="69495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51400" cy="6896100"/>
            <wp:effectExtent l="9525" t="9525" r="15875" b="952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028" cy="6911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076825" cy="6981825"/>
            <wp:effectExtent l="9525" t="9525" r="19050" b="19050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142" cy="6982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91100" cy="7800975"/>
            <wp:effectExtent l="9525" t="9525" r="9525" b="19050"/>
            <wp:docPr id="4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410" cy="7801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53000" cy="7791450"/>
            <wp:effectExtent l="9525" t="9525" r="9525" b="9525"/>
            <wp:docPr id="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305" cy="7791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tabs>
          <w:tab w:val="left" w:pos="0"/>
        </w:tabs>
        <w:spacing w:before="156" w:beforeLines="50" w:after="156" w:afterLines="50" w:line="580" w:lineRule="exact"/>
        <w:ind w:firstLineChars="0"/>
        <w:jc w:val="left"/>
        <w:outlineLvl w:val="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荣誉证书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80305" cy="7286625"/>
            <wp:effectExtent l="0" t="0" r="10795" b="9525"/>
            <wp:docPr id="44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270" cy="72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B3EC3"/>
    <w:multiLevelType w:val="multilevel"/>
    <w:tmpl w:val="3A7B3EC3"/>
    <w:lvl w:ilvl="0" w:tentative="0">
      <w:start w:val="1"/>
      <w:numFmt w:val="chineseCountingThousand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A4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  <w:style w:type="paragraph" w:customStyle="1" w:styleId="5">
    <w:name w:val="列出段落11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2021-07-09T09:24:44Z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