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700" w:lineRule="exact"/>
        <w:ind w:right="159"/>
        <w:jc w:val="center"/>
        <w:rPr>
          <w:rFonts w:ascii="小标宋" w:hAnsi="方正小标宋简体" w:eastAsia="小标宋"/>
          <w:sz w:val="44"/>
          <w:szCs w:val="44"/>
        </w:rPr>
      </w:pPr>
      <w:r>
        <w:rPr>
          <w:rFonts w:hint="eastAsia" w:ascii="小标宋" w:hAnsi="方正小标宋简体" w:eastAsia="小标宋"/>
          <w:sz w:val="44"/>
          <w:szCs w:val="44"/>
        </w:rPr>
        <w:t>“科创中国”平台科技成果产业化方案</w:t>
      </w:r>
    </w:p>
    <w:tbl>
      <w:tblPr>
        <w:tblStyle w:val="5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rPr>
          <w:trHeight w:val="547" w:hRule="atLeast"/>
        </w:trPr>
        <w:tc>
          <w:tcPr>
            <w:tcW w:w="8931" w:type="dxa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1" w:type="dxa"/>
          </w:tcPr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一种医用转轮式注射换瓶系统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本发明包括主安装架、输液环体，所述输液环体转动连接于主安装架上，所述主安装架上设有驱动件，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其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驱动件用于驱动输液环体进行周向转动；所述输液环体上设有两个或两个以上的安装座，每个安装座上均安装有输液瓶；所述主安装架上设有伸缩动力件，所述伸缩动力件的伸缩端上安装有输液针杆；转动所述输液环体，输液环体上的安装座能对应移动至输液针杆内，所述输液针杆能插入或拔出对应安装座上的输液瓶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</w:p>
          <w:p>
            <w:pPr>
              <w:ind w:firstLine="640" w:firstLineChars="20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c>
          <w:tcPr>
            <w:tcW w:w="8931" w:type="dxa"/>
          </w:tcPr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技术亮点</w:t>
            </w:r>
          </w:p>
        </w:tc>
      </w:tr>
      <w:tr>
        <w:tc>
          <w:tcPr>
            <w:tcW w:w="8931" w:type="dxa"/>
          </w:tcPr>
          <w:p>
            <w:pPr>
              <w:ind w:firstLine="643" w:firstLineChars="200"/>
              <w:jc w:val="left"/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1、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提供一种医用转轮式注射换瓶系统，其能便捷地完成多瓶输液瓶之间的拔针换瓶动作</w:t>
            </w: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无需人工进行拔针和换瓶复杂动作</w:t>
            </w: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整体动作便捷性高。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2、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输液环体发生周向旋转时，输液瓶内的注射液会发生晃动，可在注射液被注射之前产生更加均匀的摇晃效果。</w:t>
            </w:r>
          </w:p>
          <w:p>
            <w:pPr>
              <w:ind w:firstLine="643" w:firstLineChars="200"/>
              <w:jc w:val="left"/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3、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产品设计合理,结构巧妙,成本低廉且使用移位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都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方便</w:t>
            </w: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4、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当医院病人众多，医护人员紧缺时，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能解决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更换不及时造成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的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回血现象等。保证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了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病人的输液安全，减轻医护人员的劳动强度。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5、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本实用新型结构简单，采用全新的推杆退回传动机构，可以实现重复使用。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1" w:type="dxa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应用前景</w:t>
            </w:r>
          </w:p>
        </w:tc>
      </w:tr>
      <w:tr>
        <w:tc>
          <w:tcPr>
            <w:tcW w:w="8931" w:type="dxa"/>
          </w:tcPr>
          <w:p>
            <w:pPr>
              <w:ind w:firstLine="643" w:firstLineChars="200"/>
              <w:jc w:val="left"/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本发明涉及医用设备技术领域，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具体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涉及一种医用转轮式注射换瓶系统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应用</w:t>
            </w: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Hans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该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医用转轮式注射换瓶系统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为一种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输液环体转动连接于主安装架上，所述主安装架上设有驱动件，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其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用于驱动输液环体进行周向转动；输液环体上设有两个或两个以上的安装座，每个安装座上均安装有输液瓶；主安装架上设有伸缩动力件，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其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伸缩端上安装有输液针杆；转动所述输液环体，输液环体上的安装座能对应移动至输液针杆内，所述输液针杆能插入或拔出对应安装座上的输液瓶内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拔针换瓶动作无需人工进行复杂动作，整体动作便捷性高。本发明目的是提供一种医用转轮式注射换瓶系统，其能便捷地完成多瓶输液瓶之间的拔针换瓶动作。</w:t>
            </w:r>
          </w:p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484" w:hRule="atLeast"/>
        </w:trPr>
        <w:tc>
          <w:tcPr>
            <w:tcW w:w="8931" w:type="dxa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团队概括</w:t>
            </w:r>
          </w:p>
        </w:tc>
      </w:tr>
      <w:tr>
        <w:tc>
          <w:tcPr>
            <w:tcW w:w="8931" w:type="dxa"/>
          </w:tcPr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鲍天琪，台州蓝天知识产权代理有限公司是经国家知识产权局、国家商标局核准直接代理国内、外专利、商标、版权的专业知识产权法律机构。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蓝天知识产权代理有限公司是经国家知识产权局、国家商标局核准直接代理国内、外专利、商标、版权的专业知识产权法律机构。公司拥有专业、高效的知识产权执业团队和先进的管理体系，为客户提供高端的知识产权法律服务。在代理专利、商标、版权、诉讼等知识产权领域拥有显著的特长和优势。公司成立以来，已经为10000多家企业提供了专业的知识产权法律服务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服务领域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1、诉讼代理：专利、商标、版权等知识产权诉讼代理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2、专利代理：国内、外专利申请、检索、无效宣告、许可转让、PCT、香港、台湾等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3、商标代理：国内、外商标查询、注册变更、续展、质押、转让、监测异议、复审、马德里、单一国家申请等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4、海关保护</w:t>
            </w:r>
          </w:p>
          <w:p>
            <w:pPr>
              <w:ind w:firstLine="643" w:firstLineChars="20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5、版权代理</w:t>
            </w:r>
          </w:p>
        </w:tc>
      </w:tr>
      <w:tr>
        <w:tc>
          <w:tcPr>
            <w:tcW w:w="8931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产生的效益</w:t>
            </w:r>
          </w:p>
        </w:tc>
      </w:tr>
      <w:tr>
        <w:tc>
          <w:tcPr>
            <w:tcW w:w="8931" w:type="dxa"/>
          </w:tcPr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输液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其中一个输液瓶中的注射液注射完之后，需要将输液头从该输液瓶中拔出，而后再将输液头插入到另一个输液瓶中，而该操作动作对于正常人而言非常简单，但是输液过程中，患者的手部会扎有注射针头，上述的拔针换瓶动作对于患者而言单手操作非常困难。通过上述技术方案，一方面，能节省较多的横向空间；另一方面，竖向设置的输液环体，输液环体发生旋转时，安装在输液环体上的输液瓶内部的注射液能晃动的更加均匀。提供一种医用转轮式注射换瓶系统，其能便捷地完成多瓶输液瓶之间的拔针换瓶动作。</w:t>
            </w:r>
          </w:p>
          <w:p>
            <w:pPr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转化方式</w:t>
            </w:r>
          </w:p>
        </w:tc>
      </w:tr>
      <w:tr>
        <w:tc>
          <w:tcPr>
            <w:tcW w:w="8931" w:type="dxa"/>
          </w:tcPr>
          <w:p>
            <w:pPr>
              <w:ind w:firstLine="640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合作方式：技术开发</w:t>
            </w:r>
          </w:p>
          <w:p>
            <w:pPr>
              <w:ind w:firstLine="640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负责该项目技术开发，生产培训，生产监控，产品品管。其它由甲方负责</w:t>
            </w:r>
            <w:r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  <w:t xml:space="preserve">(包括设备投资，物料采购，产品销售，产品配送，财务管理等) </w:t>
            </w:r>
          </w:p>
          <w:p>
            <w:pPr>
              <w:ind w:firstLine="640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各方保留每月审核该项目财务运营的权力，如对财务收支，损益有疑问，有权提出查证原始单据核对帐目。帐目可疑且当事人不能提出合理解释的，项目合作各方有权追究当事人的经济，法律责任。涉及该项目的支出、收入等一切帐目的各项原始收支单据须经各方签字认可，交财务管理员做帐。</w:t>
            </w:r>
          </w:p>
          <w:p>
            <w:pPr>
              <w:ind w:firstLine="640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技术，市场保密</w:t>
            </w:r>
          </w:p>
          <w:p>
            <w:pPr>
              <w:ind w:firstLine="640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合作期内未经项目合作各方同意，任何人不得将技术及市场内容转让，不得与项目合作双方以外的合作方进行合作或为他人人谋取利益，不得将技术泄密。违者项目合作方有权没收责任方相关收益，并追究责任方的经济法律责任。</w:t>
            </w:r>
          </w:p>
          <w:p>
            <w:pPr>
              <w:ind w:firstLine="643" w:firstLineChars="200"/>
              <w:rPr>
                <w:rFonts w:ascii="仿宋" w:hAnsi="仿宋" w:eastAsia="仿宋" w:cs="Times New Roman (正文 CS 字体)"/>
                <w:b/>
                <w:bCs/>
                <w:color w:val="7F7F7F"/>
                <w:kern w:val="0"/>
                <w:sz w:val="32"/>
                <w:szCs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  <w:t>该项目所得利润按合作方所占的不同股权比例按股分成，其中甲方占股权分成%，乙方占股权分成%。在保证项目正常运作的情况下，每年进行年终分红一次(每年元月对上一年度红利进行分成)。扩大业务运营如需要提留利润时，必须经过各方认可，且不得超过年度利润总额的30%。该提留按各方所占股权比例计为各方的的股本金投入。</w:t>
            </w:r>
          </w:p>
        </w:tc>
      </w:tr>
    </w:tbl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ind w:right="160"/>
        <w:jc w:val="center"/>
        <w:rPr>
          <w:rFonts w:ascii="小标宋" w:hAnsi="小标宋" w:eastAsia="小标宋"/>
          <w:sz w:val="44"/>
          <w:szCs w:val="44"/>
        </w:rPr>
      </w:pPr>
      <w:r>
        <w:rPr>
          <w:rFonts w:hint="eastAsia" w:ascii="小标宋" w:hAnsi="小标宋" w:eastAsia="小标宋"/>
          <w:sz w:val="44"/>
          <w:szCs w:val="44"/>
        </w:rPr>
        <w:t>“科创中国”平台科技成果综合评价报告</w:t>
      </w:r>
    </w:p>
    <w:tbl>
      <w:tblPr>
        <w:tblStyle w:val="10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709"/>
        <w:gridCol w:w="425"/>
        <w:gridCol w:w="851"/>
        <w:gridCol w:w="3827"/>
      </w:tblGrid>
      <w:tr>
        <w:trPr>
          <w:trHeight w:val="7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成果名称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hAnsi="微软雅黑 Light" w:eastAsia="仿宋_GB2312" w:cs="Times New Roman (正文 CS 字体)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医用转轮式注射换瓶系统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/>
                <w:sz w:val="28"/>
                <w:szCs w:val="28"/>
              </w:rPr>
              <w:t>分类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新材料技术</w:t>
            </w:r>
          </w:p>
        </w:tc>
      </w:tr>
      <w:tr>
        <w:trPr>
          <w:trHeight w:val="71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所属单位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</w:p>
        </w:tc>
      </w:tr>
      <w:tr>
        <w:trPr>
          <w:trHeight w:val="166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田老师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电话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default" w:ascii="仿宋_GB2312" w:hAnsi="微软雅黑 Light" w:eastAsia="仿宋_GB2312" w:cs="Times New Roman (正文 CS 字体)"/>
                <w:sz w:val="28"/>
                <w:szCs w:val="28"/>
              </w:rPr>
              <w:t>15501288659</w:t>
            </w:r>
          </w:p>
        </w:tc>
      </w:tr>
      <w:tr>
        <w:trPr>
          <w:trHeight w:val="1615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成果简介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一种医用转轮式注射换瓶系统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本发明包括主安装架、输液环体，所述输液环体转动连接于主安装架上，所述主安装架上设有驱动件，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其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驱动件用于驱动输液环体进行周向转动；所述输液环体上设有两个或两个以上的安装座，每个安装座上均安装有输液瓶；所述主安装架上设有伸缩动力件，所述伸缩动力件的伸缩端上安装有输液针杆；转动所述输液环体，输液环体上的安装座能对应移动至输液针杆内，所述输液针杆能插入或拔出对应安装座上的输液瓶内。</w:t>
            </w:r>
          </w:p>
          <w:p>
            <w:pPr>
              <w:jc w:val="left"/>
              <w:rPr>
                <w:rFonts w:ascii="仿宋_GB2312" w:hAnsi="仿宋_GB2312" w:eastAsia="仿宋_GB2312" w:cs="Times New Roman (正文 CS 字体)"/>
                <w:sz w:val="28"/>
                <w:szCs w:val="28"/>
              </w:rPr>
            </w:pPr>
          </w:p>
        </w:tc>
      </w:tr>
      <w:tr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创新水平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关键共性技术○  前沿引领技术○  现代工程技术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98"/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颠覆性技术○ 其他○</w:t>
            </w:r>
          </w:p>
        </w:tc>
      </w:tr>
      <w:tr>
        <w:tc>
          <w:tcPr>
            <w:tcW w:w="212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技术进度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新设备或新装置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原理样机○   工程样机○   中试原型机○   产业化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98"/>
            </w:r>
          </w:p>
        </w:tc>
      </w:tr>
      <w:tr>
        <w:tc>
          <w:tcPr>
            <w:tcW w:w="212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新材料或新技术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微软雅黑 Light" w:eastAsia="仿宋_GB2312" w:cs="Times New Roman (正文 CS 字体)"/>
                <w:sz w:val="28"/>
                <w:szCs w:val="28"/>
              </w:rPr>
              <w:t>实验室阶段○      工程化阶段○       产业化阶段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98"/>
            </w:r>
          </w:p>
        </w:tc>
      </w:tr>
      <w:tr>
        <w:trPr>
          <w:trHeight w:val="731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技术成果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国际专利□    国家专利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专利编号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31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国际奖项□    国家奖项□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产品方向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有多个应用方向○    有一个应用方向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98"/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没有应用方向○   无法判断○</w:t>
            </w:r>
          </w:p>
        </w:tc>
      </w:tr>
      <w:tr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市场空间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需求前景巨大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98"/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需求前景较大○     </w:t>
            </w:r>
          </w:p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需求前景一般○     无法判断○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成本竞争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优势明显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98"/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优势一般○</w:t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没有优势○</w:t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无法判断○</w:t>
            </w:r>
          </w:p>
        </w:tc>
      </w:tr>
      <w:tr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政策影响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政策鼓励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98"/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政策限制○</w:t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政策淘汰○</w:t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无法判断○</w:t>
            </w:r>
          </w:p>
        </w:tc>
      </w:tr>
      <w:tr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市场周期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进入期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98"/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成长期○</w:t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饱和期○</w:t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衰退期○</w:t>
            </w:r>
            <w:r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无法判断○</w:t>
            </w:r>
          </w:p>
        </w:tc>
      </w:tr>
      <w:tr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转化周期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近期可控(1年内)○  周期较长(2年内)</w:t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98"/>
            </w: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76" w:lineRule="auto"/>
              <w:jc w:val="center"/>
              <w:rPr>
                <w:rFonts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 Light" w:eastAsia="仿宋_GB2312" w:cs="Times New Roman (正文 CS 字体)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很难转化(3年起)○   无法判断○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  <w:gridSpan w:val="6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Times New Roman (正文 CS 字体)"/>
                <w:b/>
                <w:bCs/>
                <w:sz w:val="32"/>
                <w:szCs w:val="32"/>
              </w:rPr>
              <w:t>科技成果的创新基因评价（不少于150字）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8" w:hRule="atLeast"/>
        </w:trPr>
        <w:tc>
          <w:tcPr>
            <w:tcW w:w="9073" w:type="dxa"/>
            <w:gridSpan w:val="6"/>
          </w:tcPr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1、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建立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输液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注射换瓶系统评价的核心数据模型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2、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根据国内外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输液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注射换瓶的相关指南及共识，结合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输液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注射换瓶系统相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关联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性评价的核心数据模型，初步拟定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输液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注射换瓶的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判断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标准。目前指南中对于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输液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注射换瓶的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标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断标准尚不统一，需要结合用药信息、既往文献报道情况、是否存在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输液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注射换瓶等综合考虑，拟定简便易行的诊断标准。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  <w:gridSpan w:val="6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Times New Roman (正文 CS 字体)"/>
                <w:b/>
                <w:bCs/>
                <w:sz w:val="32"/>
                <w:szCs w:val="32"/>
              </w:rPr>
              <w:t>科技成果的技术亮点评价（不少于150字）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4" w:hRule="atLeast"/>
        </w:trPr>
        <w:tc>
          <w:tcPr>
            <w:tcW w:w="9073" w:type="dxa"/>
            <w:gridSpan w:val="6"/>
          </w:tcPr>
          <w:p>
            <w:pPr>
              <w:ind w:firstLine="643" w:firstLineChars="200"/>
              <w:jc w:val="left"/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Hans"/>
              </w:rPr>
              <w:t>1、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此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种医用转轮式注射换瓶系统，其能便捷地完成多瓶输液瓶之间的拔针换瓶动作</w:t>
            </w: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无需人工进行拔针和换瓶复杂动作</w:t>
            </w: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整体动作便捷性高。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2、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可在注射液被注射之前产生更加均匀的摇晃效果。</w:t>
            </w:r>
          </w:p>
          <w:p>
            <w:pPr>
              <w:ind w:firstLine="643" w:firstLineChars="200"/>
              <w:jc w:val="left"/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3、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产品设计合理,结构巧妙,成本低廉且使用移位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都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方便</w:t>
            </w: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4、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当医院病人众多，医护人员紧缺时，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能解决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更换不及时造成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的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回血现象等。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5、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本实用新型结构简单，采用全新的推杆退回传动机构，可以实现重复使用。</w:t>
            </w:r>
          </w:p>
          <w:p>
            <w:pPr>
              <w:ind w:firstLine="560" w:firstLineChars="200"/>
              <w:rPr>
                <w:rFonts w:ascii="仿宋_GB2312" w:hAnsi="仿宋_GB2312" w:eastAsia="仿宋_GB2312" w:cs="Times New Roman (正文 CS 字体)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" w:hRule="atLeast"/>
        </w:trPr>
        <w:tc>
          <w:tcPr>
            <w:tcW w:w="9073" w:type="dxa"/>
            <w:gridSpan w:val="6"/>
            <w:vAlign w:val="center"/>
          </w:tcPr>
          <w:p>
            <w:pPr>
              <w:jc w:val="center"/>
              <w:rPr>
                <w:rFonts w:ascii="仿宋_GB2312" w:hAnsi="微软雅黑 Light" w:eastAsia="仿宋_GB2312" w:cs="Times New Roman (正文 CS 字体)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Times New Roman (正文 CS 字体)"/>
                <w:b/>
                <w:bCs/>
                <w:sz w:val="32"/>
                <w:szCs w:val="32"/>
              </w:rPr>
              <w:t>科技成果的应用市场评价（不少于150字）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8" w:hRule="atLeast"/>
        </w:trPr>
        <w:tc>
          <w:tcPr>
            <w:tcW w:w="9073" w:type="dxa"/>
            <w:gridSpan w:val="6"/>
          </w:tcPr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1.成立指导原则编制工作组织，包括独立专家咨询小组和原则制定小组。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2独立专家咨询小组包括药学</w:t>
            </w: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医疗器械行业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顶级专家，从相关专业学会推荐和遴选组成。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3.原则制定小组包括药学、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医疗器械行业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、医学中青年学者。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4.进行文献检索，纳入证据，证据审核，形成推荐意见，起草指导原则。对指导原则进行实用性审查和质量检查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5.指导原则初稿通过专业学会网站公布，征求社会各方意见。</w:t>
            </w: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9073" w:type="dxa"/>
            <w:gridSpan w:val="6"/>
            <w:vAlign w:val="center"/>
          </w:tcPr>
          <w:p>
            <w:pPr>
              <w:ind w:firstLine="161" w:firstLineChars="50"/>
              <w:jc w:val="center"/>
              <w:rPr>
                <w:rFonts w:ascii="仿宋_GB2312" w:hAnsi="微软雅黑 Light" w:eastAsia="仿宋_GB2312" w:cs="Times New Roman (正文 CS 字体)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微软雅黑 Light" w:eastAsia="仿宋_GB2312" w:cs="Times New Roman (正文 CS 字体)"/>
                <w:b/>
                <w:bCs/>
                <w:sz w:val="32"/>
                <w:szCs w:val="32"/>
              </w:rPr>
              <w:t>评价专家组综合意见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27" w:hRule="atLeast"/>
        </w:trPr>
        <w:tc>
          <w:tcPr>
            <w:tcW w:w="9073" w:type="dxa"/>
            <w:gridSpan w:val="6"/>
            <w:vAlign w:val="center"/>
          </w:tcPr>
          <w:p>
            <w:pPr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中国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药理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学会秘书处组织业内专家对《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Hans"/>
              </w:rPr>
              <w:t>一种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医用转轮式注射换瓶系统》进行验收。验收专家组认真审核了相关材料，听取了课题组的汇报，质询了有关项目情况，经认真讨论，形成验收意见如下: 一、项目组提供的资料齐全、规范，符合验收要求。 二、本研究模型训练完成后，为保证模型对语料具备较好的泛化能力，应从错误率、精度、准确率、精确度、召回率等方面进行评估。 三、项目完成了合同中规定的考核指标。 四、项目经费使用合理，符合相关要求。 验收专家组认为，该项目立题正确，设计科学，创新性强，资料可靠，结论可信；研究成果具有明显的原始和应用创新性及临床应用价值，而且已经完成了项目合同规定的考核指标，同意通过验收。</w:t>
            </w:r>
            <w:r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 </w:t>
            </w: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Times New Roman (正文 CS 字体)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Times New Roman (正文 CS 字体)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sz w:val="28"/>
                <w:szCs w:val="28"/>
              </w:rPr>
              <w:t>咨询专家签字：</w:t>
            </w:r>
          </w:p>
          <w:p>
            <w:pPr>
              <w:tabs>
                <w:tab w:val="left" w:pos="6556"/>
              </w:tabs>
              <w:jc w:val="right"/>
              <w:rPr>
                <w:rFonts w:ascii="仿宋_GB2312" w:hAnsi="仿宋_GB2312" w:eastAsia="仿宋_GB2312" w:cs="Times New Roman (正文 CS 字体)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 (正文 CS 字体)"/>
                <w:sz w:val="28"/>
                <w:szCs w:val="28"/>
              </w:rPr>
              <w:t>年    月   日</w:t>
            </w:r>
          </w:p>
        </w:tc>
      </w:tr>
    </w:tbl>
    <w:p>
      <w:pPr>
        <w:rPr>
          <w:sz w:val="10"/>
          <w:szCs w:val="10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 New Roman (正文 CS 字体)">
    <w:altName w:val="Time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 Light">
    <w:altName w:val="汉仪中黑KW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6306391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20"/>
    <w:rsid w:val="00015D76"/>
    <w:rsid w:val="0009132B"/>
    <w:rsid w:val="000B1320"/>
    <w:rsid w:val="000E1859"/>
    <w:rsid w:val="000F4AF0"/>
    <w:rsid w:val="001024CC"/>
    <w:rsid w:val="0017441C"/>
    <w:rsid w:val="00192FB4"/>
    <w:rsid w:val="001B630D"/>
    <w:rsid w:val="00204EDC"/>
    <w:rsid w:val="00230E44"/>
    <w:rsid w:val="003445EF"/>
    <w:rsid w:val="003530E2"/>
    <w:rsid w:val="003860A3"/>
    <w:rsid w:val="003B3609"/>
    <w:rsid w:val="003E2BCB"/>
    <w:rsid w:val="00402FEC"/>
    <w:rsid w:val="0041439C"/>
    <w:rsid w:val="00447060"/>
    <w:rsid w:val="00490513"/>
    <w:rsid w:val="004E7661"/>
    <w:rsid w:val="004F0850"/>
    <w:rsid w:val="00574052"/>
    <w:rsid w:val="005B6A1C"/>
    <w:rsid w:val="00652449"/>
    <w:rsid w:val="00653151"/>
    <w:rsid w:val="00662ACB"/>
    <w:rsid w:val="00665363"/>
    <w:rsid w:val="00681970"/>
    <w:rsid w:val="00702845"/>
    <w:rsid w:val="0075385B"/>
    <w:rsid w:val="00776F58"/>
    <w:rsid w:val="00792057"/>
    <w:rsid w:val="007B3054"/>
    <w:rsid w:val="007B5A1A"/>
    <w:rsid w:val="007D5E6C"/>
    <w:rsid w:val="0086536E"/>
    <w:rsid w:val="008E7D0A"/>
    <w:rsid w:val="00926E3A"/>
    <w:rsid w:val="009730C7"/>
    <w:rsid w:val="00977DA5"/>
    <w:rsid w:val="009D0D31"/>
    <w:rsid w:val="00A03BDD"/>
    <w:rsid w:val="00A15532"/>
    <w:rsid w:val="00A633D2"/>
    <w:rsid w:val="00A73F4D"/>
    <w:rsid w:val="00AC48A4"/>
    <w:rsid w:val="00AD6EAD"/>
    <w:rsid w:val="00B31377"/>
    <w:rsid w:val="00BA52DA"/>
    <w:rsid w:val="00BB7931"/>
    <w:rsid w:val="00BD5E2E"/>
    <w:rsid w:val="00C0691B"/>
    <w:rsid w:val="00C124A8"/>
    <w:rsid w:val="00C6205A"/>
    <w:rsid w:val="00CC6EFF"/>
    <w:rsid w:val="00CC710F"/>
    <w:rsid w:val="00CF1214"/>
    <w:rsid w:val="00D255D1"/>
    <w:rsid w:val="00D72A7F"/>
    <w:rsid w:val="00D9712A"/>
    <w:rsid w:val="00DE36B3"/>
    <w:rsid w:val="00E06750"/>
    <w:rsid w:val="00E31C44"/>
    <w:rsid w:val="00E37620"/>
    <w:rsid w:val="00ED6A22"/>
    <w:rsid w:val="00EE7250"/>
    <w:rsid w:val="00EF4727"/>
    <w:rsid w:val="00F07956"/>
    <w:rsid w:val="00F164CE"/>
    <w:rsid w:val="00F3636B"/>
    <w:rsid w:val="00F42C6C"/>
    <w:rsid w:val="00F70DC2"/>
    <w:rsid w:val="00FA29A3"/>
    <w:rsid w:val="6A73180D"/>
    <w:rsid w:val="BF5202B4"/>
    <w:rsid w:val="FBDCB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qFormat/>
    <w:uiPriority w:val="39"/>
    <w:rPr>
      <w:rFonts w:eastAsia="仿宋" w:cs="Times New Roman (正文 CS 字体)"/>
      <w:sz w:val="32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575</Words>
  <Characters>3280</Characters>
  <Lines>27</Lines>
  <Paragraphs>7</Paragraphs>
  <TotalTime>3</TotalTime>
  <ScaleCrop>false</ScaleCrop>
  <LinksUpToDate>false</LinksUpToDate>
  <CharactersWithSpaces>3848</CharactersWithSpaces>
  <Application>WPS Office_4.2.1.6793_F1E327BC-269C-435d-A152-05C5408002CA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2022-08-31T21:22:00Z</dcterms:created>
  <dc:creator>张 博</dc:creator>
  <cp:lastModifiedBy>锦菐</cp:lastModifiedBy>
  <cp:lastPrinted>2022-07-27T00:19:00Z</cp:lastPrinted>
  <dcterms:modified xsi:type="dcterms:W3CDTF">2022-09-22T10:55:17Z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2052-4.2.1.6793</vt:lpwstr>
  </property>
  <property fmtid="{D5CDD505-2E9C-101B-9397-08002B2CF9AE}" pid="3" name="ICV">
    <vt:lpwstr>41F12E26E9953CA10AE02A63F9A9068D</vt:lpwstr>
  </property>
</Properties>
</file>