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spacing w:line="700" w:lineRule="exact"/>
        <w:ind w:right="159"/>
        <w:jc w:val="center"/>
        <w:rPr>
          <w:rFonts w:ascii="小标宋" w:hAnsi="方正小标宋简体" w:eastAsia="小标宋"/>
          <w:sz w:val="44"/>
          <w:szCs w:val="44"/>
        </w:rPr>
      </w:pPr>
      <w:r>
        <w:rPr>
          <w:rFonts w:hint="eastAsia" w:ascii="小标宋" w:hAnsi="方正小标宋简体" w:eastAsia="小标宋"/>
          <w:sz w:val="44"/>
          <w:szCs w:val="44"/>
        </w:rPr>
        <w:t>“科创中国”平台科技成果产业化方案</w:t>
      </w:r>
    </w:p>
    <w:tbl>
      <w:tblPr>
        <w:tblStyle w:val="5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rPr>
          <w:trHeight w:val="547" w:hRule="atLeast"/>
        </w:trPr>
        <w:tc>
          <w:tcPr>
            <w:tcW w:w="8931" w:type="dxa"/>
          </w:tcPr>
          <w:p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31" w:type="dxa"/>
          </w:tcPr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一种医用转轮式注射换瓶系统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本发明包括主安装架、输液环体，所述输液环体转动连接于主安装架上，所述主安装架上设有驱动件，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  <w:t>其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驱动件用于驱动输液环体进行周向转动；所述输液环体上设有两个或两个以上的安装座，每个安装座上均安装有输液瓶；所述主安装架上设有伸缩动力件，所述伸缩动力件的伸缩端上安装有输液针杆；转动所述输液环体，输液环体上的安装座能对应移动至输液针杆内，所述输液针杆能插入或拔出对应安装座上的输液瓶内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</w:rPr>
            </w:pPr>
          </w:p>
          <w:p>
            <w:pPr>
              <w:ind w:firstLine="640" w:firstLineChars="20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c>
          <w:tcPr>
            <w:tcW w:w="8931" w:type="dxa"/>
          </w:tcPr>
          <w:p>
            <w:pPr>
              <w:jc w:val="left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技术亮点</w:t>
            </w:r>
          </w:p>
        </w:tc>
      </w:tr>
      <w:tr>
        <w:tc>
          <w:tcPr>
            <w:tcW w:w="8931" w:type="dxa"/>
          </w:tcPr>
          <w:p>
            <w:pPr>
              <w:ind w:firstLine="643" w:firstLineChars="200"/>
              <w:jc w:val="left"/>
              <w:rPr>
                <w:rFonts w:hint="default" w:ascii="仿宋_GB2312" w:eastAsia="仿宋_GB2312"/>
                <w:b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default" w:ascii="仿宋_GB2312" w:eastAsia="仿宋_GB2312"/>
                <w:b/>
                <w:bCs/>
                <w:kern w:val="0"/>
                <w:sz w:val="32"/>
                <w:szCs w:val="32"/>
                <w:lang w:eastAsia="zh-CN"/>
              </w:rPr>
              <w:t>1、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提供一种医用转轮式注射换瓶系统，其能便捷地完成多瓶输液瓶之间的拔针换瓶动作</w:t>
            </w:r>
            <w:r>
              <w:rPr>
                <w:rFonts w:hint="default" w:ascii="仿宋_GB2312" w:eastAsia="仿宋_GB2312"/>
                <w:b/>
                <w:bCs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无需人工进行拔针和换瓶复杂动作</w:t>
            </w:r>
            <w:r>
              <w:rPr>
                <w:rFonts w:hint="default" w:ascii="仿宋_GB2312" w:eastAsia="仿宋_GB2312"/>
                <w:b/>
                <w:bCs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整体动作便捷性高。</w:t>
            </w:r>
          </w:p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default" w:ascii="仿宋_GB2312" w:eastAsia="仿宋_GB2312"/>
                <w:b/>
                <w:bCs/>
                <w:kern w:val="0"/>
                <w:sz w:val="32"/>
                <w:szCs w:val="32"/>
                <w:lang w:eastAsia="zh-CN"/>
              </w:rPr>
              <w:t>2、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输液环体发生周向旋转时，输液瓶内的注射液会发生晃动，可在注射液被注射之前产生更加均匀的摇晃效果。</w:t>
            </w:r>
          </w:p>
          <w:p>
            <w:pPr>
              <w:ind w:firstLine="643" w:firstLineChars="200"/>
              <w:jc w:val="left"/>
              <w:rPr>
                <w:rFonts w:hint="default" w:ascii="仿宋_GB2312" w:eastAsia="仿宋_GB2312"/>
                <w:b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default" w:ascii="仿宋_GB2312" w:eastAsia="仿宋_GB2312"/>
                <w:b/>
                <w:bCs/>
                <w:kern w:val="0"/>
                <w:sz w:val="32"/>
                <w:szCs w:val="32"/>
                <w:lang w:eastAsia="zh-CN"/>
              </w:rPr>
              <w:t>3、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产品设计合理,结构巧妙,成本低廉且使用移位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  <w:t>都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方便</w:t>
            </w:r>
            <w:r>
              <w:rPr>
                <w:rFonts w:hint="default" w:ascii="仿宋_GB2312" w:eastAsia="仿宋_GB2312"/>
                <w:b/>
                <w:bCs/>
                <w:kern w:val="0"/>
                <w:sz w:val="32"/>
                <w:szCs w:val="32"/>
                <w:lang w:eastAsia="zh-CN"/>
              </w:rPr>
              <w:t>。</w:t>
            </w:r>
          </w:p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default" w:ascii="仿宋_GB2312" w:eastAsia="仿宋_GB2312"/>
                <w:b/>
                <w:bCs/>
                <w:kern w:val="0"/>
                <w:sz w:val="32"/>
                <w:szCs w:val="32"/>
                <w:lang w:eastAsia="zh-CN"/>
              </w:rPr>
              <w:t>4、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当医院病人众多，医护人员紧缺时，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  <w:t>能解决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更换不及时造成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  <w:t>的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回血现象等。保证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  <w:t>了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病人的输液安全，减轻医护人员的劳动强度。</w:t>
            </w:r>
          </w:p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default" w:ascii="仿宋_GB2312" w:eastAsia="仿宋_GB2312"/>
                <w:b/>
                <w:bCs/>
                <w:kern w:val="0"/>
                <w:sz w:val="32"/>
                <w:szCs w:val="32"/>
                <w:lang w:eastAsia="zh-CN"/>
              </w:rPr>
              <w:t>5、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本实用新型结构简单，采用全新的推杆退回传动机构，可以实现重复使用。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31" w:type="dxa"/>
          </w:tcPr>
          <w:p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应用前景</w:t>
            </w:r>
          </w:p>
        </w:tc>
      </w:tr>
      <w:tr>
        <w:tc>
          <w:tcPr>
            <w:tcW w:w="8931" w:type="dxa"/>
          </w:tcPr>
          <w:p>
            <w:pPr>
              <w:ind w:firstLine="643" w:firstLineChars="200"/>
              <w:jc w:val="left"/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本发明涉及医用设备技术领域，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  <w:t>具体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涉及一种医用转轮式注射换瓶系统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  <w:t>应用</w:t>
            </w:r>
            <w:r>
              <w:rPr>
                <w:rFonts w:hint="default" w:ascii="仿宋_GB2312" w:eastAsia="仿宋_GB2312"/>
                <w:b/>
                <w:bCs/>
                <w:kern w:val="0"/>
                <w:sz w:val="32"/>
                <w:szCs w:val="32"/>
                <w:lang w:eastAsia="zh-Hans"/>
              </w:rPr>
              <w:t>，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  <w:t>该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医用转轮式注射换瓶系统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  <w:t>为一种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输液环体转动连接于主安装架上，所述主安装架上设有驱动件，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  <w:t>其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用于驱动输液环体进行周向转动；输液环体上设有两个或两个以上的安装座，每个安装座上均安装有输液瓶；主安装架上设有伸缩动力件，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  <w:t>其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伸缩端上安装有输液针杆；转动所述输液环体，输液环体上的安装座能对应移动至输液针杆内，所述输液针杆能插入或拔出对应安装座上的输液瓶内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拔针换瓶动作无需人工进行复杂动作，整体动作便捷性高。本发明目的是提供一种医用转轮式注射换瓶系统，其能便捷地完成多瓶输液瓶之间的拔针换瓶动作。</w:t>
            </w:r>
          </w:p>
          <w:p>
            <w:pPr>
              <w:jc w:val="left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rPr>
          <w:trHeight w:val="484" w:hRule="atLeast"/>
        </w:trPr>
        <w:tc>
          <w:tcPr>
            <w:tcW w:w="8931" w:type="dxa"/>
          </w:tcPr>
          <w:p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团队概括</w:t>
            </w:r>
          </w:p>
        </w:tc>
      </w:tr>
      <w:tr>
        <w:tc>
          <w:tcPr>
            <w:tcW w:w="8931" w:type="dxa"/>
          </w:tcPr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鲍天琪，台州蓝天知识产权代理有限公司是经国家知识产权局、国家商标局核准直接代理国内、外专利、商标、版权的专业知识产权法律机构。</w:t>
            </w:r>
          </w:p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蓝天知识产权代理有限公司是经国家知识产权局、国家商标局核准直接代理国内、外专利、商标、版权的专业知识产权法律机构。公司拥有专业、高效的知识产权执业团队和先进的管理体系，为客户提供高端的知识产权法律服务。在代理专利、商标、版权、诉讼等知识产权领域拥有显著的特长和优势。公司成立以来，已经为10000多家企业提供了专业的知识产权法律服务。</w:t>
            </w:r>
          </w:p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服务领域</w:t>
            </w:r>
          </w:p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1、诉讼代理：专利、商标、版权等知识产权诉讼代理</w:t>
            </w:r>
          </w:p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2、专利代理：国内、外专利申请、检索、无效宣告、许可转让、PCT、香港、台湾等</w:t>
            </w:r>
          </w:p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3、商标代理：国内、外商标查询、注册变更、续展、质押、转让、监测异议、复审、马德里、单一国家申请等</w:t>
            </w:r>
          </w:p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4、海关保护</w:t>
            </w:r>
          </w:p>
          <w:p>
            <w:pPr>
              <w:ind w:firstLine="643" w:firstLineChars="20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5、版权代理</w:t>
            </w:r>
          </w:p>
        </w:tc>
      </w:tr>
      <w:tr>
        <w:tc>
          <w:tcPr>
            <w:tcW w:w="8931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产生的效益</w:t>
            </w:r>
          </w:p>
        </w:tc>
      </w:tr>
      <w:tr>
        <w:tc>
          <w:tcPr>
            <w:tcW w:w="8931" w:type="dxa"/>
          </w:tcPr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  <w:t>输液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其中一个输液瓶中的注射液注射完之后，需要将输液头从该输液瓶中拔出，而后再将输液头插入到另一个输液瓶中，而该操作动作对于正常人而言非常简单，但是输液过程中，患者的手部会扎有注射针头，上述的拔针换瓶动作对于患者而言单手操作非常困难。通过上述技术方案，一方面，能节省较多的横向空间；另一方面，竖向设置的输液环体，输液环体发生旋转时，安装在输液环体上的输液瓶内部的注射液能晃动的更加均匀。提供一种医用转轮式注射换瓶系统，其能便捷地完成多瓶输液瓶之间的拔针换瓶动作。</w:t>
            </w:r>
          </w:p>
          <w:p>
            <w:pPr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31" w:type="dxa"/>
            <w:vAlign w:val="center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转化方式</w:t>
            </w:r>
          </w:p>
        </w:tc>
      </w:tr>
      <w:tr>
        <w:tc>
          <w:tcPr>
            <w:tcW w:w="8931" w:type="dxa"/>
          </w:tcPr>
          <w:p>
            <w:pPr>
              <w:ind w:firstLine="640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</w:rPr>
              <w:t>合作方式：技术开发</w:t>
            </w:r>
          </w:p>
          <w:p>
            <w:pPr>
              <w:ind w:firstLine="640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</w:rPr>
              <w:t>负责该项目技术开发，生产培训，生产监控，产品品管。其它由甲方负责</w:t>
            </w:r>
            <w:r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  <w:t xml:space="preserve">(包括设备投资，物料采购，产品销售，产品配送，财务管理等) </w:t>
            </w:r>
          </w:p>
          <w:p>
            <w:pPr>
              <w:ind w:firstLine="640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</w:rPr>
              <w:t>各方保留每月审核该项目财务运营的权力，如对财务收支，损益有疑问，有权提出查证原始单据核对帐目。帐目可疑且当事人不能提出合理解释的，项目合作各方有权追究当事人的经济，法律责任。涉及该项目的支出、收入等一切帐目的各项原始收支单据须经各方签字认可，交财务管理员做帐。</w:t>
            </w:r>
          </w:p>
          <w:p>
            <w:pPr>
              <w:ind w:firstLine="640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</w:rPr>
              <w:t>技术，市场保密</w:t>
            </w:r>
          </w:p>
          <w:p>
            <w:pPr>
              <w:ind w:firstLine="640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</w:rPr>
              <w:t>合作期内未经项目合作各方同意，任何人不得将技术及市场内容转让，不得与项目合作双方以外的合作方进行合作或为他人人谋取利益，不得将技术泄密。违者项目合作方有权没收责任方相关收益，并追究责任方的经济法律责任。</w:t>
            </w:r>
          </w:p>
          <w:p>
            <w:pPr>
              <w:ind w:firstLine="643" w:firstLineChars="200"/>
              <w:rPr>
                <w:rFonts w:ascii="仿宋" w:hAnsi="仿宋" w:eastAsia="仿宋" w:cs="Times New Roman (正文 CS 字体)"/>
                <w:b/>
                <w:bCs/>
                <w:color w:val="7F7F7F"/>
                <w:kern w:val="0"/>
                <w:sz w:val="32"/>
                <w:szCs w:val="24"/>
              </w:rPr>
            </w:pPr>
            <w:r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  <w:t>该项目所得利润按合作方所占的不同股权比例按股分成，其中甲方占股权分成%，乙方占股权分成%。在保证项目正常运作的情况下，每年进行年终分红一次(每年元月对上一年度红利进行分成)。扩大业务运营如需要提留利润时，必须经过各方认可，且不得超过年度利润总额的30%。该提留按各方所占股权比例计为各方的的股本金投入。</w:t>
            </w:r>
          </w:p>
        </w:tc>
      </w:tr>
    </w:tbl>
    <w:p>
      <w:pPr>
        <w:spacing w:line="58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ind w:right="160"/>
        <w:jc w:val="center"/>
        <w:rPr>
          <w:rFonts w:ascii="小标宋" w:hAnsi="小标宋" w:eastAsia="小标宋"/>
          <w:sz w:val="44"/>
          <w:szCs w:val="44"/>
        </w:rPr>
      </w:pPr>
      <w:r>
        <w:rPr>
          <w:rFonts w:hint="eastAsia" w:ascii="小标宋" w:hAnsi="小标宋" w:eastAsia="小标宋"/>
          <w:sz w:val="44"/>
          <w:szCs w:val="44"/>
        </w:rPr>
        <w:t>“科创中国”平台科技成果综合评价报告</w:t>
      </w:r>
    </w:p>
    <w:tbl>
      <w:tblPr>
        <w:tblStyle w:val="10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134"/>
        <w:gridCol w:w="709"/>
        <w:gridCol w:w="425"/>
        <w:gridCol w:w="851"/>
        <w:gridCol w:w="3827"/>
      </w:tblGrid>
      <w:tr>
        <w:trPr>
          <w:trHeight w:val="71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微软雅黑 Light" w:eastAsia="仿宋_GB2312" w:cs="Times New Roman (正文 CS 字体)"/>
                <w:sz w:val="28"/>
                <w:szCs w:val="28"/>
              </w:rPr>
            </w:pPr>
            <w:r>
              <w:rPr>
                <w:rFonts w:hint="eastAsia" w:ascii="仿宋_GB2312" w:hAnsi="微软雅黑 Light" w:eastAsia="仿宋_GB2312" w:cs="Times New Roman (正文 CS 字体)"/>
                <w:sz w:val="28"/>
                <w:szCs w:val="28"/>
              </w:rPr>
              <w:t>成果名称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仿宋_GB2312" w:hAnsi="微软雅黑 Light" w:eastAsia="仿宋_GB2312" w:cs="Times New Roman (正文 CS 字体)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医用转轮式注射换瓶系统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微软雅黑 Light" w:eastAsia="仿宋_GB2312" w:cs="Times New Roman (正文 CS 字体)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 Light" w:eastAsia="仿宋_GB2312" w:cs="Times New Roman (正文 CS 字体)"/>
                <w:color w:val="000000"/>
                <w:sz w:val="28"/>
                <w:szCs w:val="28"/>
              </w:rPr>
              <w:t>分类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hAnsi="微软雅黑 Light" w:eastAsia="仿宋_GB2312" w:cs="Times New Roman (正文 CS 字体)"/>
                <w:sz w:val="28"/>
                <w:szCs w:val="28"/>
              </w:rPr>
            </w:pPr>
            <w:r>
              <w:rPr>
                <w:rFonts w:hint="eastAsia" w:ascii="仿宋_GB2312" w:hAnsi="微软雅黑 Light" w:eastAsia="仿宋_GB2312" w:cs="Times New Roman (正文 CS 字体)"/>
                <w:sz w:val="28"/>
                <w:szCs w:val="28"/>
              </w:rPr>
              <w:t>新材料技术</w:t>
            </w:r>
          </w:p>
        </w:tc>
      </w:tr>
      <w:tr>
        <w:trPr>
          <w:trHeight w:val="71" w:hRule="atLeast"/>
        </w:trPr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ascii="仿宋_GB2312" w:hAnsi="微软雅黑 Light" w:eastAsia="仿宋_GB2312" w:cs="Times New Roman (正文 CS 字体)"/>
                <w:sz w:val="28"/>
                <w:szCs w:val="28"/>
              </w:rPr>
            </w:pPr>
            <w:r>
              <w:rPr>
                <w:rFonts w:hint="eastAsia" w:ascii="仿宋_GB2312" w:hAnsi="微软雅黑 Light" w:eastAsia="仿宋_GB2312" w:cs="Times New Roman (正文 CS 字体)"/>
                <w:sz w:val="28"/>
                <w:szCs w:val="28"/>
              </w:rPr>
              <w:t>所属单位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rPr>
                <w:rFonts w:ascii="仿宋_GB2312" w:hAnsi="微软雅黑 Light" w:eastAsia="仿宋_GB2312" w:cs="Times New Roman (正文 CS 字体)"/>
                <w:sz w:val="28"/>
                <w:szCs w:val="28"/>
              </w:rPr>
            </w:pPr>
          </w:p>
        </w:tc>
      </w:tr>
      <w:tr>
        <w:trPr>
          <w:trHeight w:val="16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 Light" w:eastAsia="仿宋_GB2312" w:cs="Times New Roman (正文 CS 字体)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微软雅黑 Light" w:eastAsia="仿宋_GB2312" w:cs="Times New Roman (正文 CS 字体)"/>
                <w:sz w:val="28"/>
                <w:szCs w:val="28"/>
              </w:rPr>
            </w:pPr>
            <w:r>
              <w:rPr>
                <w:rFonts w:hint="eastAsia" w:ascii="仿宋_GB2312" w:hAnsi="微软雅黑 Light" w:eastAsia="仿宋_GB2312" w:cs="Times New Roman (正文 CS 字体)"/>
                <w:sz w:val="28"/>
                <w:szCs w:val="28"/>
              </w:rPr>
              <w:t>联系人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微软雅黑 Light" w:eastAsia="仿宋_GB2312" w:cs="Times New Roman (正文 CS 字体)"/>
                <w:sz w:val="28"/>
                <w:szCs w:val="28"/>
              </w:rPr>
            </w:pPr>
            <w:r>
              <w:rPr>
                <w:rFonts w:hint="eastAsia" w:ascii="仿宋_GB2312" w:hAnsi="微软雅黑 Light" w:eastAsia="仿宋_GB2312" w:cs="Times New Roman (正文 CS 字体)"/>
                <w:sz w:val="28"/>
                <w:szCs w:val="28"/>
              </w:rPr>
              <w:t>田老师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微软雅黑 Light" w:eastAsia="仿宋_GB2312" w:cs="Times New Roman (正文 CS 字体)"/>
                <w:sz w:val="28"/>
                <w:szCs w:val="28"/>
              </w:rPr>
            </w:pPr>
            <w:r>
              <w:rPr>
                <w:rFonts w:hint="eastAsia" w:ascii="仿宋_GB2312" w:hAnsi="微软雅黑 Light" w:eastAsia="仿宋_GB2312" w:cs="Times New Roman (正文 CS 字体)"/>
                <w:sz w:val="28"/>
                <w:szCs w:val="28"/>
              </w:rPr>
              <w:t>电话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hint="default" w:ascii="仿宋_GB2312" w:hAnsi="微软雅黑 Light" w:eastAsia="仿宋_GB2312" w:cs="Times New Roman (正文 CS 字体)"/>
                <w:sz w:val="28"/>
                <w:szCs w:val="28"/>
              </w:rPr>
            </w:pPr>
            <w:r>
              <w:rPr>
                <w:rFonts w:hint="default" w:ascii="仿宋_GB2312" w:hAnsi="微软雅黑 Light" w:eastAsia="仿宋_GB2312" w:cs="Times New Roman (正文 CS 字体)"/>
                <w:sz w:val="28"/>
                <w:szCs w:val="28"/>
              </w:rPr>
              <w:t>15501288659</w:t>
            </w:r>
          </w:p>
        </w:tc>
      </w:tr>
      <w:tr>
        <w:trPr>
          <w:trHeight w:val="1615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微软雅黑 Light" w:eastAsia="仿宋_GB2312" w:cs="Times New Roman (正文 CS 字体)"/>
                <w:sz w:val="28"/>
                <w:szCs w:val="28"/>
              </w:rPr>
            </w:pPr>
            <w:r>
              <w:rPr>
                <w:rFonts w:hint="eastAsia" w:ascii="仿宋_GB2312" w:hAnsi="微软雅黑 Light" w:eastAsia="仿宋_GB2312" w:cs="Times New Roman (正文 CS 字体)"/>
                <w:sz w:val="28"/>
                <w:szCs w:val="28"/>
              </w:rPr>
              <w:t>成果简介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一种医用转轮式注射换瓶系统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本发明包括主安装架、输液环体，所述输液环体转动连接于主安装架上，所述主安装架上设有驱动件，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  <w:t>其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驱动件用于驱动输液环体进行周向转动；所述输液环体上设有两个或两个以上的安装座，每个安装座上均安装有输液瓶；所述主安装架上设有伸缩动力件，所述伸缩动力件的伸缩端上安装有输液针杆；转动所述输液环体，输液环体上的安装座能对应移动至输液针杆内，所述输液针杆能插入或拔出对应安装座上的输液瓶内。</w:t>
            </w:r>
          </w:p>
          <w:p>
            <w:pPr>
              <w:jc w:val="left"/>
              <w:rPr>
                <w:rFonts w:ascii="仿宋_GB2312" w:hAnsi="仿宋_GB2312" w:eastAsia="仿宋_GB2312" w:cs="Times New Roman (正文 CS 字体)"/>
                <w:sz w:val="28"/>
                <w:szCs w:val="28"/>
              </w:rPr>
            </w:pPr>
          </w:p>
        </w:tc>
      </w:tr>
      <w:tr>
        <w:tc>
          <w:tcPr>
            <w:tcW w:w="2127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创新水平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关键共性技术○  前沿引领技术○  现代工程技术</w:t>
            </w: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F098"/>
            </w: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颠覆性技术○ 其他○</w:t>
            </w:r>
          </w:p>
        </w:tc>
      </w:tr>
      <w:tr>
        <w:tc>
          <w:tcPr>
            <w:tcW w:w="2127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sz w:val="28"/>
                <w:szCs w:val="28"/>
              </w:rPr>
            </w:pPr>
            <w:r>
              <w:rPr>
                <w:rFonts w:hint="eastAsia" w:ascii="仿宋_GB2312" w:hAnsi="微软雅黑 Light" w:eastAsia="仿宋_GB2312" w:cs="Times New Roman (正文 CS 字体)"/>
                <w:sz w:val="28"/>
                <w:szCs w:val="28"/>
              </w:rPr>
              <w:t>技术进度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sz w:val="28"/>
                <w:szCs w:val="28"/>
              </w:rPr>
            </w:pPr>
            <w:r>
              <w:rPr>
                <w:rFonts w:hint="eastAsia" w:ascii="仿宋_GB2312" w:hAnsi="微软雅黑 Light" w:eastAsia="仿宋_GB2312" w:cs="Times New Roman (正文 CS 字体)"/>
                <w:sz w:val="28"/>
                <w:szCs w:val="28"/>
              </w:rPr>
              <w:t>新设备或新装置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sz w:val="28"/>
                <w:szCs w:val="28"/>
              </w:rPr>
            </w:pPr>
            <w:r>
              <w:rPr>
                <w:rFonts w:hint="eastAsia" w:ascii="仿宋_GB2312" w:hAnsi="微软雅黑 Light" w:eastAsia="仿宋_GB2312" w:cs="Times New Roman (正文 CS 字体)"/>
                <w:sz w:val="28"/>
                <w:szCs w:val="28"/>
              </w:rPr>
              <w:t>原理样机○   工程样机○   中试原型机○   产业化</w:t>
            </w: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F098"/>
            </w:r>
          </w:p>
        </w:tc>
      </w:tr>
      <w:tr>
        <w:tc>
          <w:tcPr>
            <w:tcW w:w="212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sz w:val="28"/>
                <w:szCs w:val="28"/>
              </w:rPr>
            </w:pPr>
            <w:r>
              <w:rPr>
                <w:rFonts w:hint="eastAsia" w:ascii="仿宋_GB2312" w:hAnsi="微软雅黑 Light" w:eastAsia="仿宋_GB2312" w:cs="Times New Roman (正文 CS 字体)"/>
                <w:sz w:val="28"/>
                <w:szCs w:val="28"/>
              </w:rPr>
              <w:t>新材料或新技术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sz w:val="28"/>
                <w:szCs w:val="28"/>
              </w:rPr>
            </w:pPr>
            <w:r>
              <w:rPr>
                <w:rFonts w:hint="eastAsia" w:ascii="仿宋_GB2312" w:hAnsi="微软雅黑 Light" w:eastAsia="仿宋_GB2312" w:cs="Times New Roman (正文 CS 字体)"/>
                <w:sz w:val="28"/>
                <w:szCs w:val="28"/>
              </w:rPr>
              <w:t>实验室阶段○      工程化阶段○       产业化阶段</w:t>
            </w: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F098"/>
            </w:r>
          </w:p>
        </w:tc>
      </w:tr>
      <w:tr>
        <w:trPr>
          <w:trHeight w:val="731" w:hRule="atLeast"/>
        </w:trPr>
        <w:tc>
          <w:tcPr>
            <w:tcW w:w="2127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技术成果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国际专利□    国家专利</w:t>
            </w: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F052"/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专利编号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731" w:hRule="atLeast"/>
        </w:trPr>
        <w:tc>
          <w:tcPr>
            <w:tcW w:w="212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国际奖项□    国家奖项□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奖项名称</w:t>
            </w:r>
          </w:p>
        </w:tc>
        <w:tc>
          <w:tcPr>
            <w:tcW w:w="3827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c>
          <w:tcPr>
            <w:tcW w:w="2127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产品方向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有多个应用方向○    有一个应用方向</w:t>
            </w: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F098"/>
            </w: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没有应用方向○   无法判断○</w:t>
            </w:r>
          </w:p>
        </w:tc>
      </w:tr>
      <w:tr>
        <w:tc>
          <w:tcPr>
            <w:tcW w:w="2127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市场空间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需求前景巨大</w:t>
            </w: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F098"/>
            </w: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需求前景较大○     </w:t>
            </w:r>
          </w:p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需求前景一般○     无法判断○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7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成本竞争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优势明显</w:t>
            </w: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F098"/>
            </w:r>
            <w:r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优势一般○</w:t>
            </w:r>
            <w:r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没有优势○</w:t>
            </w:r>
            <w:r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无法判断○</w:t>
            </w:r>
          </w:p>
        </w:tc>
      </w:tr>
      <w:tr>
        <w:tc>
          <w:tcPr>
            <w:tcW w:w="2127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政策影响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政策鼓励</w:t>
            </w: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F098"/>
            </w:r>
            <w:r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政策限制○</w:t>
            </w:r>
            <w:r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政策淘汰○</w:t>
            </w:r>
            <w:r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无法判断○</w:t>
            </w:r>
          </w:p>
        </w:tc>
      </w:tr>
      <w:tr>
        <w:tc>
          <w:tcPr>
            <w:tcW w:w="2127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市场周期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进入期</w:t>
            </w: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F098"/>
            </w:r>
            <w:r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成长期○</w:t>
            </w:r>
            <w:r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饱和期○</w:t>
            </w:r>
            <w:r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衰退期○</w:t>
            </w:r>
            <w:r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无法判断○</w:t>
            </w:r>
          </w:p>
        </w:tc>
      </w:tr>
      <w:tr>
        <w:tc>
          <w:tcPr>
            <w:tcW w:w="2127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转化周期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近期可控(1年内)○  周期较长(2年内)</w:t>
            </w: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F098"/>
            </w: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276" w:lineRule="auto"/>
              <w:jc w:val="center"/>
              <w:rPr>
                <w:rFonts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 Light" w:eastAsia="仿宋_GB2312" w:cs="Times New Roman (正文 CS 字体)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很难转化(3年起)○   无法判断○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73" w:type="dxa"/>
            <w:gridSpan w:val="6"/>
            <w:vAlign w:val="center"/>
          </w:tcPr>
          <w:p>
            <w:pPr>
              <w:jc w:val="center"/>
              <w:rPr>
                <w:rFonts w:ascii="仿宋_GB2312" w:hAnsi="微软雅黑 Light" w:eastAsia="仿宋_GB2312" w:cs="Times New Roman (正文 CS 字体)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微软雅黑 Light" w:eastAsia="仿宋_GB2312" w:cs="Times New Roman (正文 CS 字体)"/>
                <w:b/>
                <w:bCs/>
                <w:sz w:val="32"/>
                <w:szCs w:val="32"/>
              </w:rPr>
              <w:t>科技成果的创新基因评价（不少于150字）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28" w:hRule="atLeast"/>
        </w:trPr>
        <w:tc>
          <w:tcPr>
            <w:tcW w:w="9073" w:type="dxa"/>
            <w:gridSpan w:val="6"/>
          </w:tcPr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kern w:val="0"/>
                <w:sz w:val="32"/>
                <w:szCs w:val="32"/>
                <w:lang w:eastAsia="zh-CN"/>
              </w:rPr>
              <w:t>1、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建立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  <w:t>输液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注射换瓶系统评价的核心数据模型</w:t>
            </w:r>
          </w:p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kern w:val="0"/>
                <w:sz w:val="32"/>
                <w:szCs w:val="32"/>
                <w:lang w:eastAsia="zh-CN"/>
              </w:rPr>
              <w:t>2、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根据国内外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  <w:t>输液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注射换瓶的相关指南及共识，结合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  <w:t>输液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注射换瓶系统相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  <w:t>关联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性评价的核心数据模型，初步拟定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  <w:t>输液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注射换瓶的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  <w:t>判断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标准。目前指南中对于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  <w:t>输液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注射换瓶的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  <w:t>标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断标准尚不统一，需要结合用药信息、既往文献报道情况、是否存在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  <w:t>输液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注射换瓶等综合考虑，拟定简便易行的诊断标准。</w:t>
            </w:r>
          </w:p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73" w:type="dxa"/>
            <w:gridSpan w:val="6"/>
            <w:vAlign w:val="center"/>
          </w:tcPr>
          <w:p>
            <w:pPr>
              <w:jc w:val="center"/>
              <w:rPr>
                <w:rFonts w:ascii="仿宋_GB2312" w:hAnsi="微软雅黑 Light" w:eastAsia="仿宋_GB2312" w:cs="Times New Roman (正文 CS 字体)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微软雅黑 Light" w:eastAsia="仿宋_GB2312" w:cs="Times New Roman (正文 CS 字体)"/>
                <w:b/>
                <w:bCs/>
                <w:sz w:val="32"/>
                <w:szCs w:val="32"/>
              </w:rPr>
              <w:t>科技成果的技术亮点评价（不少于150字）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94" w:hRule="atLeast"/>
        </w:trPr>
        <w:tc>
          <w:tcPr>
            <w:tcW w:w="9073" w:type="dxa"/>
            <w:gridSpan w:val="6"/>
          </w:tcPr>
          <w:p>
            <w:pPr>
              <w:ind w:firstLine="643" w:firstLineChars="200"/>
              <w:jc w:val="left"/>
              <w:rPr>
                <w:rFonts w:hint="default" w:ascii="仿宋_GB2312" w:eastAsia="仿宋_GB2312"/>
                <w:b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default" w:ascii="仿宋_GB2312" w:eastAsia="仿宋_GB2312"/>
                <w:b/>
                <w:bCs/>
                <w:kern w:val="0"/>
                <w:sz w:val="32"/>
                <w:szCs w:val="32"/>
                <w:lang w:eastAsia="zh-Hans"/>
              </w:rPr>
              <w:t>1、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  <w:t>此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种医用转轮式注射换瓶系统，其能便捷地完成多瓶输液瓶之间的拔针换瓶动作</w:t>
            </w:r>
            <w:r>
              <w:rPr>
                <w:rFonts w:hint="default" w:ascii="仿宋_GB2312" w:eastAsia="仿宋_GB2312"/>
                <w:b/>
                <w:bCs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无需人工进行拔针和换瓶复杂动作</w:t>
            </w:r>
            <w:r>
              <w:rPr>
                <w:rFonts w:hint="default" w:ascii="仿宋_GB2312" w:eastAsia="仿宋_GB2312"/>
                <w:b/>
                <w:bCs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整体动作便捷性高。</w:t>
            </w:r>
          </w:p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default" w:ascii="仿宋_GB2312" w:eastAsia="仿宋_GB2312"/>
                <w:b/>
                <w:bCs/>
                <w:kern w:val="0"/>
                <w:sz w:val="32"/>
                <w:szCs w:val="32"/>
                <w:lang w:eastAsia="zh-CN"/>
              </w:rPr>
              <w:t>2、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可在注射液被注射之前产生更加均匀的摇晃效果。</w:t>
            </w:r>
          </w:p>
          <w:p>
            <w:pPr>
              <w:ind w:firstLine="643" w:firstLineChars="200"/>
              <w:jc w:val="left"/>
              <w:rPr>
                <w:rFonts w:hint="default" w:ascii="仿宋_GB2312" w:eastAsia="仿宋_GB2312"/>
                <w:b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default" w:ascii="仿宋_GB2312" w:eastAsia="仿宋_GB2312"/>
                <w:b/>
                <w:bCs/>
                <w:kern w:val="0"/>
                <w:sz w:val="32"/>
                <w:szCs w:val="32"/>
                <w:lang w:eastAsia="zh-CN"/>
              </w:rPr>
              <w:t>3、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产品设计合理,结构巧妙,成本低廉且使用移位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  <w:t>都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方便</w:t>
            </w:r>
            <w:r>
              <w:rPr>
                <w:rFonts w:hint="default" w:ascii="仿宋_GB2312" w:eastAsia="仿宋_GB2312"/>
                <w:b/>
                <w:bCs/>
                <w:kern w:val="0"/>
                <w:sz w:val="32"/>
                <w:szCs w:val="32"/>
                <w:lang w:eastAsia="zh-CN"/>
              </w:rPr>
              <w:t>。</w:t>
            </w:r>
          </w:p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kern w:val="0"/>
                <w:sz w:val="32"/>
                <w:szCs w:val="32"/>
                <w:lang w:eastAsia="zh-CN"/>
              </w:rPr>
              <w:t>4、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当医院病人众多，医护人员紧缺时，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  <w:t>能解决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更换不及时造成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  <w:t>的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回血现象等。</w:t>
            </w:r>
          </w:p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default" w:ascii="仿宋_GB2312" w:eastAsia="仿宋_GB2312"/>
                <w:b/>
                <w:bCs/>
                <w:kern w:val="0"/>
                <w:sz w:val="32"/>
                <w:szCs w:val="32"/>
                <w:lang w:eastAsia="zh-CN"/>
              </w:rPr>
              <w:t>5、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本实用新型结构简单，采用全新的推杆退回传动机构，可以实现重复使用。</w:t>
            </w:r>
          </w:p>
          <w:p>
            <w:pPr>
              <w:ind w:firstLine="560" w:firstLineChars="200"/>
              <w:rPr>
                <w:rFonts w:ascii="仿宋_GB2312" w:hAnsi="仿宋_GB2312" w:eastAsia="仿宋_GB2312" w:cs="Times New Roman (正文 CS 字体)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1" w:hRule="atLeast"/>
        </w:trPr>
        <w:tc>
          <w:tcPr>
            <w:tcW w:w="9073" w:type="dxa"/>
            <w:gridSpan w:val="6"/>
            <w:vAlign w:val="center"/>
          </w:tcPr>
          <w:p>
            <w:pPr>
              <w:jc w:val="center"/>
              <w:rPr>
                <w:rFonts w:ascii="仿宋_GB2312" w:hAnsi="微软雅黑 Light" w:eastAsia="仿宋_GB2312" w:cs="Times New Roman (正文 CS 字体)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微软雅黑 Light" w:eastAsia="仿宋_GB2312" w:cs="Times New Roman (正文 CS 字体)"/>
                <w:b/>
                <w:bCs/>
                <w:sz w:val="32"/>
                <w:szCs w:val="32"/>
              </w:rPr>
              <w:t>科技成果的应用市场评价（不少于150字）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88" w:hRule="atLeast"/>
        </w:trPr>
        <w:tc>
          <w:tcPr>
            <w:tcW w:w="9073" w:type="dxa"/>
            <w:gridSpan w:val="6"/>
          </w:tcPr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1.成立指导原则编制工作组织，包括独立专家咨询小组和原则制定小组。</w:t>
            </w:r>
          </w:p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2独立专家咨询小组包括药学</w:t>
            </w:r>
            <w:r>
              <w:rPr>
                <w:rFonts w:hint="default" w:ascii="仿宋_GB2312" w:eastAsia="仿宋_GB2312"/>
                <w:b/>
                <w:bCs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  <w:t>医疗器械行业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顶级专家，从相关专业学会推荐和遴选组成。</w:t>
            </w:r>
          </w:p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3.原则制定小组包括药学、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  <w:t>医疗器械行业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、医学中青年学者。</w:t>
            </w:r>
          </w:p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4.进行文献检索，纳入证据，证据审核，形成推荐意见，起草指导原则。对指导原则进行实用性审查和质量检查</w:t>
            </w:r>
          </w:p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5.指导原则初稿通过专业学会网站公布，征求社会各方意见。</w:t>
            </w:r>
          </w:p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" w:hRule="atLeast"/>
        </w:trPr>
        <w:tc>
          <w:tcPr>
            <w:tcW w:w="9073" w:type="dxa"/>
            <w:gridSpan w:val="6"/>
            <w:vAlign w:val="center"/>
          </w:tcPr>
          <w:p>
            <w:pPr>
              <w:ind w:firstLine="161" w:firstLineChars="50"/>
              <w:jc w:val="center"/>
              <w:rPr>
                <w:rFonts w:ascii="仿宋_GB2312" w:hAnsi="微软雅黑 Light" w:eastAsia="仿宋_GB2312" w:cs="Times New Roman (正文 CS 字体)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微软雅黑 Light" w:eastAsia="仿宋_GB2312" w:cs="Times New Roman (正文 CS 字体)"/>
                <w:b/>
                <w:bCs/>
                <w:sz w:val="32"/>
                <w:szCs w:val="32"/>
              </w:rPr>
              <w:t>评价专家组综合意见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27" w:hRule="atLeast"/>
        </w:trPr>
        <w:tc>
          <w:tcPr>
            <w:tcW w:w="9073" w:type="dxa"/>
            <w:gridSpan w:val="6"/>
            <w:vAlign w:val="center"/>
          </w:tcPr>
          <w:p>
            <w:pPr>
              <w:ind w:firstLine="643" w:firstLineChars="200"/>
              <w:jc w:val="left"/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中国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  <w:t>药理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学会秘书处组织业内专家对《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Hans"/>
              </w:rPr>
              <w:t>一种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医用转轮式注射换瓶系统》进行验收。验收专家组认真审核了相关材料，听取了课题组的汇报，质询了有关项目情况，经认真讨论，形成验收意见如下: 一、项目组提供的资料齐全、规范，符合验收要求。 二、本研究模型训练完成后，为保证模型对语料具备较好的泛化能力，应从错误率、精度、准确率、精确度、召回率等方面进行评估。 三、项目完成了合同中规定的考核指标。 四、项目经费使用合理，符合相关要求。 验收专家组认为，该项目立题正确，设计科学，创新性强，资料可靠，结论可信；研究成果具有明显的原始和应用创新性及临床应用价值，而且已经完成了项目合同规定的考核指标，同意通过验收。</w:t>
            </w:r>
            <w:r>
              <w:rPr>
                <w:rFonts w:hint="default" w:ascii="仿宋_GB2312" w:eastAsia="仿宋_GB2312"/>
                <w:b/>
                <w:bCs/>
                <w:kern w:val="0"/>
                <w:sz w:val="32"/>
                <w:szCs w:val="32"/>
                <w:lang w:val="en-US" w:eastAsia="zh-CN"/>
              </w:rPr>
              <w:t> </w:t>
            </w:r>
          </w:p>
          <w:p>
            <w:pPr>
              <w:ind w:firstLine="560" w:firstLineChars="200"/>
              <w:jc w:val="left"/>
              <w:rPr>
                <w:rFonts w:ascii="仿宋_GB2312" w:hAnsi="仿宋_GB2312" w:eastAsia="仿宋_GB2312" w:cs="Times New Roman (正文 CS 字体)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仿宋_GB2312" w:hAnsi="仿宋_GB2312" w:eastAsia="仿宋_GB2312" w:cs="Times New Roman (正文 CS 字体)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 (正文 CS 字体)"/>
                <w:sz w:val="28"/>
                <w:szCs w:val="28"/>
              </w:rPr>
              <w:t>咨询专家签字：</w:t>
            </w:r>
          </w:p>
          <w:p>
            <w:pPr>
              <w:tabs>
                <w:tab w:val="left" w:pos="6556"/>
              </w:tabs>
              <w:jc w:val="right"/>
              <w:rPr>
                <w:rFonts w:ascii="仿宋_GB2312" w:hAnsi="仿宋_GB2312" w:eastAsia="仿宋_GB2312" w:cs="Times New Roman (正文 CS 字体)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Times New Roman (正文 CS 字体)"/>
                <w:sz w:val="28"/>
                <w:szCs w:val="28"/>
              </w:rPr>
              <w:t>年    月   日</w:t>
            </w:r>
          </w:p>
        </w:tc>
      </w:tr>
    </w:tbl>
    <w:p>
      <w:pPr>
        <w:rPr>
          <w:sz w:val="10"/>
          <w:szCs w:val="10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Times New Roman (正文 CS 字体)">
    <w:altName w:val="Time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Times">
    <w:panose1 w:val="0000050000000002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小标宋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 Light">
    <w:altName w:val="汉仪中黑KW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6306391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2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doNotDisplayPageBoundaries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20"/>
    <w:rsid w:val="00015D76"/>
    <w:rsid w:val="0009132B"/>
    <w:rsid w:val="000B1320"/>
    <w:rsid w:val="000E1859"/>
    <w:rsid w:val="000F4AF0"/>
    <w:rsid w:val="001024CC"/>
    <w:rsid w:val="0017441C"/>
    <w:rsid w:val="00192FB4"/>
    <w:rsid w:val="001B630D"/>
    <w:rsid w:val="00204EDC"/>
    <w:rsid w:val="00230E44"/>
    <w:rsid w:val="003445EF"/>
    <w:rsid w:val="003530E2"/>
    <w:rsid w:val="003860A3"/>
    <w:rsid w:val="003B3609"/>
    <w:rsid w:val="003E2BCB"/>
    <w:rsid w:val="00402FEC"/>
    <w:rsid w:val="0041439C"/>
    <w:rsid w:val="00447060"/>
    <w:rsid w:val="00490513"/>
    <w:rsid w:val="004E7661"/>
    <w:rsid w:val="004F0850"/>
    <w:rsid w:val="00574052"/>
    <w:rsid w:val="005B6A1C"/>
    <w:rsid w:val="00652449"/>
    <w:rsid w:val="00653151"/>
    <w:rsid w:val="00662ACB"/>
    <w:rsid w:val="00665363"/>
    <w:rsid w:val="00681970"/>
    <w:rsid w:val="00702845"/>
    <w:rsid w:val="0075385B"/>
    <w:rsid w:val="00776F58"/>
    <w:rsid w:val="00792057"/>
    <w:rsid w:val="007B3054"/>
    <w:rsid w:val="007B5A1A"/>
    <w:rsid w:val="007D5E6C"/>
    <w:rsid w:val="0086536E"/>
    <w:rsid w:val="008E7D0A"/>
    <w:rsid w:val="00926E3A"/>
    <w:rsid w:val="009730C7"/>
    <w:rsid w:val="00977DA5"/>
    <w:rsid w:val="009D0D31"/>
    <w:rsid w:val="00A03BDD"/>
    <w:rsid w:val="00A15532"/>
    <w:rsid w:val="00A633D2"/>
    <w:rsid w:val="00A73F4D"/>
    <w:rsid w:val="00AC48A4"/>
    <w:rsid w:val="00AD6EAD"/>
    <w:rsid w:val="00B31377"/>
    <w:rsid w:val="00BA52DA"/>
    <w:rsid w:val="00BB7931"/>
    <w:rsid w:val="00BD5E2E"/>
    <w:rsid w:val="00C0691B"/>
    <w:rsid w:val="00C124A8"/>
    <w:rsid w:val="00C6205A"/>
    <w:rsid w:val="00CC6EFF"/>
    <w:rsid w:val="00CC710F"/>
    <w:rsid w:val="00CF1214"/>
    <w:rsid w:val="00D255D1"/>
    <w:rsid w:val="00D72A7F"/>
    <w:rsid w:val="00D9712A"/>
    <w:rsid w:val="00DE36B3"/>
    <w:rsid w:val="00E06750"/>
    <w:rsid w:val="00E31C44"/>
    <w:rsid w:val="00E37620"/>
    <w:rsid w:val="00ED6A22"/>
    <w:rsid w:val="00EE7250"/>
    <w:rsid w:val="00EF4727"/>
    <w:rsid w:val="00F07956"/>
    <w:rsid w:val="00F164CE"/>
    <w:rsid w:val="00F3636B"/>
    <w:rsid w:val="00F42C6C"/>
    <w:rsid w:val="00F70DC2"/>
    <w:rsid w:val="00FA29A3"/>
    <w:rsid w:val="6A73180D"/>
    <w:rsid w:val="BF5202B4"/>
    <w:rsid w:val="FBDCB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table" w:customStyle="1" w:styleId="10">
    <w:name w:val="网格型1"/>
    <w:basedOn w:val="4"/>
    <w:qFormat/>
    <w:uiPriority w:val="39"/>
    <w:rPr>
      <w:rFonts w:eastAsia="仿宋" w:cs="Times New Roman (正文 CS 字体)"/>
      <w:sz w:val="32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575</Words>
  <Characters>3280</Characters>
  <Lines>27</Lines>
  <Paragraphs>7</Paragraphs>
  <TotalTime>3</TotalTime>
  <ScaleCrop>false</ScaleCrop>
  <LinksUpToDate>false</LinksUpToDate>
  <CharactersWithSpaces>3848</CharactersWithSpaces>
  <Application>WPS Office_4.2.1.6793_F1E327BC-269C-435d-A152-05C5408002CA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2022-08-31T21:22:00Z</dcterms:created>
  <dc:creator>张 博</dc:creator>
  <cp:lastModifiedBy>锦菐</cp:lastModifiedBy>
  <cp:lastPrinted>2022-07-27T00:19:00Z</cp:lastPrinted>
  <dcterms:modified xsi:type="dcterms:W3CDTF">2022-09-22T10:55:17Z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2052-4.2.1.6793</vt:lpwstr>
  </property>
  <property fmtid="{D5CDD505-2E9C-101B-9397-08002B2CF9AE}" pid="3" name="ICV">
    <vt:lpwstr>41F12E26E9953CA10AE02A63F9A9068D</vt:lpwstr>
  </property>
</Properties>
</file>