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353515EF" w:rsidR="0027744C" w:rsidRDefault="008F53BE" w:rsidP="00FF1A1B">
            <w:pPr>
              <w:rPr>
                <w:rFonts w:ascii="仿宋_GB2312" w:eastAsia="仿宋_GB2312" w:hint="eastAsia"/>
                <w:sz w:val="28"/>
                <w:szCs w:val="28"/>
              </w:rPr>
            </w:pPr>
            <w:r>
              <w:rPr>
                <w:rFonts w:ascii="仿宋_GB2312" w:eastAsia="仿宋_GB2312" w:hint="eastAsia"/>
                <w:sz w:val="28"/>
                <w:szCs w:val="28"/>
              </w:rPr>
              <w:t xml:space="preserve"> </w:t>
            </w:r>
            <w:r w:rsidR="0027744C">
              <w:rPr>
                <w:rFonts w:ascii="仿宋_GB2312" w:eastAsia="仿宋_GB2312" w:hint="eastAsia"/>
                <w:sz w:val="28"/>
                <w:szCs w:val="28"/>
              </w:rPr>
              <w:t>公共建筑精准能耗定额与智能运维管控关键技术及应用</w:t>
            </w:r>
            <w:bookmarkStart w:id="0" w:name="_GoBack"/>
            <w:bookmarkEnd w:id="0"/>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4DC09EB0"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6D320D" w:rsidRPr="006D320D">
              <w:rPr>
                <w:rFonts w:ascii="仿宋_GB2312" w:eastAsia="仿宋_GB2312" w:hint="eastAsia"/>
                <w:sz w:val="28"/>
                <w:szCs w:val="28"/>
              </w:rPr>
              <w:t>建筑运维，人工智能，能源</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77777777" w:rsidR="00BB7F3A" w:rsidRDefault="00BB7F3A" w:rsidP="00FF1A1B">
            <w:pPr>
              <w:rPr>
                <w:rFonts w:ascii="仿宋_GB2312" w:eastAsia="仿宋_GB2312"/>
                <w:sz w:val="28"/>
                <w:szCs w:val="28"/>
              </w:rPr>
            </w:pPr>
          </w:p>
          <w:p w14:paraId="48C4530B" w14:textId="77777777" w:rsidR="006D320D" w:rsidRPr="006D320D" w:rsidRDefault="006D320D" w:rsidP="006D320D">
            <w:pPr>
              <w:rPr>
                <w:rFonts w:ascii="仿宋_GB2312" w:eastAsia="仿宋_GB2312"/>
                <w:sz w:val="28"/>
                <w:szCs w:val="28"/>
              </w:rPr>
            </w:pPr>
            <w:r w:rsidRPr="006D320D">
              <w:rPr>
                <w:rFonts w:ascii="仿宋_GB2312" w:eastAsia="仿宋_GB2312" w:hint="eastAsia"/>
                <w:sz w:val="28"/>
                <w:szCs w:val="28"/>
              </w:rPr>
              <w:t>为满足大型公共建筑精准的能耗管控需求，降低能耗，提升运维管理水平，</w:t>
            </w:r>
          </w:p>
          <w:p w14:paraId="2ECD4986" w14:textId="762F62DC" w:rsidR="008F53BE" w:rsidRDefault="006D320D" w:rsidP="006D320D">
            <w:pPr>
              <w:rPr>
                <w:rFonts w:ascii="仿宋_GB2312" w:eastAsia="仿宋_GB2312"/>
                <w:sz w:val="28"/>
                <w:szCs w:val="28"/>
              </w:rPr>
            </w:pPr>
            <w:r w:rsidRPr="006D320D">
              <w:rPr>
                <w:rFonts w:ascii="仿宋_GB2312" w:eastAsia="仿宋_GB2312" w:hint="eastAsia"/>
                <w:sz w:val="28"/>
                <w:szCs w:val="28"/>
              </w:rPr>
              <w:t>本项目应用多种人工智能算法，根据多年行业经验、行业大数据，经过反复实践迭代，将知识模型与机器学习模型有机结合，提出了一种复杂公共建筑日电耗精准预测方法；将人工智能技术与建筑能源管理技术结合，研制出一套基于电耗预测和动态智能调整结果的能耗精准管控系统，通过提供基于实时参数动态调整的智能运行策略推送，以及能耗智能诊断评价，使管理者可全面掌控能耗情况，保障管理预期的有效执行，避免管理漏洞和技术缺陷，实现高效用能及品能平衡，最终促进建筑运维组织的管理能力实现全方位的提升。</w:t>
            </w:r>
            <w:r w:rsidRPr="006D320D">
              <w:rPr>
                <w:rFonts w:ascii="仿宋_GB2312" w:eastAsia="仿宋_GB2312"/>
                <w:sz w:val="28"/>
                <w:szCs w:val="28"/>
              </w:rPr>
              <w:cr/>
            </w: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0FCD922C" w14:textId="77777777" w:rsidR="006D320D" w:rsidRPr="006D320D" w:rsidRDefault="006D320D" w:rsidP="006D320D">
            <w:pPr>
              <w:rPr>
                <w:rFonts w:ascii="仿宋_GB2312" w:eastAsia="仿宋_GB2312"/>
                <w:sz w:val="28"/>
                <w:szCs w:val="28"/>
              </w:rPr>
            </w:pPr>
            <w:r w:rsidRPr="006D320D">
              <w:rPr>
                <w:rFonts w:ascii="仿宋_GB2312" w:eastAsia="仿宋_GB2312"/>
                <w:sz w:val="28"/>
                <w:szCs w:val="28"/>
              </w:rPr>
              <w:t>a．实现了公共建筑能源系统运行动态管控中人工智能的大规模工程化应用。</w:t>
            </w:r>
          </w:p>
          <w:p w14:paraId="5C6D4E44" w14:textId="77777777" w:rsidR="006D320D" w:rsidRPr="006D320D" w:rsidRDefault="006D320D" w:rsidP="006D320D">
            <w:pPr>
              <w:rPr>
                <w:rFonts w:ascii="仿宋_GB2312" w:eastAsia="仿宋_GB2312"/>
                <w:sz w:val="28"/>
                <w:szCs w:val="28"/>
              </w:rPr>
            </w:pPr>
            <w:r w:rsidRPr="006D320D">
              <w:rPr>
                <w:rFonts w:ascii="仿宋_GB2312" w:eastAsia="仿宋_GB2312"/>
                <w:sz w:val="28"/>
                <w:szCs w:val="28"/>
              </w:rPr>
              <w:t xml:space="preserve"> b．提出了建筑能耗领域基于知识的模型和基于数据的模型有机结合的方法体系。</w:t>
            </w:r>
          </w:p>
          <w:p w14:paraId="68606DF4" w14:textId="77777777" w:rsidR="006D320D" w:rsidRPr="006D320D" w:rsidRDefault="006D320D" w:rsidP="006D320D">
            <w:pPr>
              <w:rPr>
                <w:rFonts w:ascii="仿宋_GB2312" w:eastAsia="仿宋_GB2312"/>
                <w:sz w:val="28"/>
                <w:szCs w:val="28"/>
              </w:rPr>
            </w:pPr>
            <w:r w:rsidRPr="006D320D">
              <w:rPr>
                <w:rFonts w:ascii="仿宋_GB2312" w:eastAsia="仿宋_GB2312"/>
                <w:sz w:val="28"/>
                <w:szCs w:val="28"/>
              </w:rPr>
              <w:t xml:space="preserve"> c．提出了基于电耗预测和动态智能调整的实时能耗精准管控方法。</w:t>
            </w:r>
          </w:p>
          <w:p w14:paraId="653C36F2" w14:textId="78BA52D5" w:rsidR="008F53BE" w:rsidRDefault="006D320D" w:rsidP="006D320D">
            <w:pPr>
              <w:rPr>
                <w:rFonts w:ascii="仿宋_GB2312" w:eastAsia="仿宋_GB2312"/>
                <w:sz w:val="28"/>
                <w:szCs w:val="28"/>
              </w:rPr>
            </w:pPr>
            <w:r w:rsidRPr="006D320D">
              <w:rPr>
                <w:rFonts w:ascii="仿宋_GB2312" w:eastAsia="仿宋_GB2312"/>
                <w:sz w:val="28"/>
                <w:szCs w:val="28"/>
              </w:rPr>
              <w:t>3. 本项目取得相关授权发明专利 8 项，软件著作权 3 项。成果应用于多个大型商业地</w:t>
            </w:r>
            <w:r w:rsidRPr="006D320D">
              <w:rPr>
                <w:rFonts w:ascii="仿宋_GB2312" w:eastAsia="仿宋_GB2312" w:hint="eastAsia"/>
                <w:sz w:val="28"/>
                <w:szCs w:val="28"/>
              </w:rPr>
              <w:t>产集团，已在实际工程中得到两年以上验证，目前，该系统已接入接近</w:t>
            </w:r>
            <w:r w:rsidRPr="006D320D">
              <w:rPr>
                <w:rFonts w:ascii="仿宋_GB2312" w:eastAsia="仿宋_GB2312"/>
                <w:sz w:val="28"/>
                <w:szCs w:val="28"/>
              </w:rPr>
              <w:t xml:space="preserve"> 1000 个各类公共建</w:t>
            </w:r>
            <w:r w:rsidRPr="006D320D">
              <w:rPr>
                <w:rFonts w:ascii="仿宋_GB2312" w:eastAsia="仿宋_GB2312" w:hint="eastAsia"/>
                <w:sz w:val="28"/>
                <w:szCs w:val="28"/>
              </w:rPr>
              <w:t>筑。根据多个大型商业地产集团</w:t>
            </w:r>
            <w:r w:rsidRPr="006D320D">
              <w:rPr>
                <w:rFonts w:ascii="仿宋_GB2312" w:eastAsia="仿宋_GB2312"/>
                <w:sz w:val="28"/>
                <w:szCs w:val="28"/>
              </w:rPr>
              <w:t xml:space="preserve"> 500 余</w:t>
            </w:r>
            <w:r w:rsidRPr="006D320D">
              <w:rPr>
                <w:rFonts w:ascii="仿宋_GB2312" w:eastAsia="仿宋_GB2312"/>
                <w:sz w:val="28"/>
                <w:szCs w:val="28"/>
              </w:rPr>
              <w:lastRenderedPageBreak/>
              <w:t>座、总面积超过 3200 万平米的公共建筑运行数据统</w:t>
            </w:r>
            <w:r w:rsidRPr="006D320D">
              <w:rPr>
                <w:rFonts w:ascii="仿宋_GB2312" w:eastAsia="仿宋_GB2312" w:hint="eastAsia"/>
                <w:sz w:val="28"/>
                <w:szCs w:val="28"/>
              </w:rPr>
              <w:t>计，已实现每年节电量</w:t>
            </w:r>
            <w:r w:rsidRPr="006D320D">
              <w:rPr>
                <w:rFonts w:ascii="仿宋_GB2312" w:eastAsia="仿宋_GB2312"/>
                <w:sz w:val="28"/>
                <w:szCs w:val="28"/>
              </w:rPr>
              <w:t xml:space="preserve"> 1.6 亿度，累计节电超过 5 亿度。本项目可应用于建筑能源系统进行</w:t>
            </w:r>
            <w:r w:rsidRPr="006D320D">
              <w:rPr>
                <w:rFonts w:ascii="仿宋_GB2312" w:eastAsia="仿宋_GB2312" w:hint="eastAsia"/>
                <w:sz w:val="28"/>
                <w:szCs w:val="28"/>
              </w:rPr>
              <w:t>高效管理，效益显著。</w:t>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lastRenderedPageBreak/>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21307EAB" w14:textId="081054FA" w:rsidR="008F53BE" w:rsidRDefault="006D320D" w:rsidP="006D320D">
            <w:pPr>
              <w:rPr>
                <w:rFonts w:ascii="仿宋_GB2312" w:eastAsia="仿宋_GB2312"/>
                <w:sz w:val="28"/>
                <w:szCs w:val="28"/>
              </w:rPr>
            </w:pPr>
            <w:r w:rsidRPr="006D320D">
              <w:rPr>
                <w:rFonts w:ascii="仿宋_GB2312" w:eastAsia="仿宋_GB2312" w:hint="eastAsia"/>
                <w:sz w:val="28"/>
                <w:szCs w:val="28"/>
              </w:rPr>
              <w:t>大部分公共建筑管理中目标制定时，传统采用的是线下填报的方式，需要手动填写运行策略表，需要各个专业人员需要熟悉设备运行规律，至少有一年的设备运行经验，这将导致预算制定的门槛较高，人力投入极大。后交由总部进行线下审核，总部对于提报能耗目标较多的，线下与项目沟通确认，直至所有项目的能耗值全部达到集团要求，该过程一般在</w:t>
            </w:r>
            <w:r w:rsidRPr="006D320D">
              <w:rPr>
                <w:rFonts w:ascii="仿宋_GB2312" w:eastAsia="仿宋_GB2312"/>
                <w:sz w:val="28"/>
                <w:szCs w:val="28"/>
              </w:rPr>
              <w:t xml:space="preserve"> 10 月份开始，持续 40~60 天时间。</w:t>
            </w:r>
            <w:r w:rsidRPr="006D320D">
              <w:rPr>
                <w:rFonts w:ascii="仿宋_GB2312" w:eastAsia="仿宋_GB2312" w:hint="eastAsia"/>
                <w:sz w:val="28"/>
                <w:szCs w:val="28"/>
              </w:rPr>
              <w:t>采用基于大数据人工智能算法的能耗管理后，由集团统一下发指标，项目基于下发的能耗目标进行调整，中心审核指标，一般进行两轮，该过程只需要持续</w:t>
            </w:r>
            <w:r w:rsidRPr="006D320D">
              <w:rPr>
                <w:rFonts w:ascii="仿宋_GB2312" w:eastAsia="仿宋_GB2312"/>
                <w:sz w:val="28"/>
                <w:szCs w:val="28"/>
              </w:rPr>
              <w:t>14~25 天时间，且依据大数据计算的能耗，不需要大量专业人员参与，大大降低</w:t>
            </w:r>
            <w:r w:rsidRPr="006D320D">
              <w:rPr>
                <w:rFonts w:ascii="仿宋_GB2312" w:eastAsia="仿宋_GB2312" w:hint="eastAsia"/>
                <w:sz w:val="28"/>
                <w:szCs w:val="28"/>
              </w:rPr>
              <w:t>了目标制定门槛，大幅缩短了制定能耗目标的时间和人力成本。从实际运行效果来看，应用人工智能的能源管控提升了集团管控能力，从集团到单体项目的预算准确性均显著提升，预算制定与管理难度明显降低，同时各级单位对日常能源管控的重视程度和管理能力都在持续加强。与人工填报相比，基于大数据人工智能算法的预算值明显更加准确。</w:t>
            </w:r>
            <w:r w:rsidRPr="006D320D">
              <w:rPr>
                <w:rFonts w:ascii="仿宋_GB2312" w:eastAsia="仿宋_GB2312"/>
                <w:sz w:val="28"/>
                <w:szCs w:val="28"/>
              </w:rPr>
              <w:cr/>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lastRenderedPageBreak/>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51C8EE8C" w14:textId="77777777" w:rsidR="008F53BE" w:rsidRDefault="008F53BE" w:rsidP="007D791E">
            <w:pPr>
              <w:rPr>
                <w:kern w:val="2"/>
                <w:sz w:val="22"/>
                <w:szCs w:val="22"/>
              </w:rPr>
            </w:pPr>
          </w:p>
          <w:p w14:paraId="5629510F" w14:textId="77777777" w:rsidR="006D320D" w:rsidRPr="006D320D" w:rsidRDefault="006D320D" w:rsidP="006D320D">
            <w:pPr>
              <w:rPr>
                <w:kern w:val="2"/>
                <w:sz w:val="22"/>
                <w:szCs w:val="22"/>
              </w:rPr>
            </w:pPr>
            <w:r w:rsidRPr="006D320D">
              <w:rPr>
                <w:kern w:val="2"/>
                <w:sz w:val="22"/>
                <w:szCs w:val="22"/>
              </w:rPr>
              <w:t>1 李静原 男 1990.6 工程师 博士 博锐尚格科技股份有限公司 业务和技术总体把关、系统整体</w:t>
            </w:r>
          </w:p>
          <w:p w14:paraId="0A179979" w14:textId="77777777" w:rsidR="006D320D" w:rsidRPr="006D320D" w:rsidRDefault="006D320D" w:rsidP="006D320D">
            <w:pPr>
              <w:rPr>
                <w:kern w:val="2"/>
                <w:sz w:val="22"/>
                <w:szCs w:val="22"/>
              </w:rPr>
            </w:pPr>
            <w:r w:rsidRPr="006D320D">
              <w:rPr>
                <w:rFonts w:hint="eastAsia"/>
                <w:kern w:val="2"/>
                <w:sz w:val="22"/>
                <w:szCs w:val="22"/>
              </w:rPr>
              <w:t>逻辑设计</w:t>
            </w:r>
          </w:p>
          <w:p w14:paraId="46677572" w14:textId="77777777" w:rsidR="006D320D" w:rsidRPr="006D320D" w:rsidRDefault="006D320D" w:rsidP="006D320D">
            <w:pPr>
              <w:rPr>
                <w:kern w:val="2"/>
                <w:sz w:val="22"/>
                <w:szCs w:val="22"/>
              </w:rPr>
            </w:pPr>
            <w:r w:rsidRPr="006D320D">
              <w:rPr>
                <w:kern w:val="2"/>
                <w:sz w:val="22"/>
                <w:szCs w:val="22"/>
              </w:rPr>
              <w:t>2 窦强 男 1982.5 高级工程师 博士 博锐尚格科技股份有限公司 业务逻辑设计、理论模型确定</w:t>
            </w:r>
          </w:p>
          <w:p w14:paraId="0A1182FD" w14:textId="77777777" w:rsidR="006D320D" w:rsidRPr="006D320D" w:rsidRDefault="006D320D" w:rsidP="006D320D">
            <w:pPr>
              <w:rPr>
                <w:kern w:val="2"/>
                <w:sz w:val="22"/>
                <w:szCs w:val="22"/>
              </w:rPr>
            </w:pPr>
            <w:r w:rsidRPr="006D320D">
              <w:rPr>
                <w:kern w:val="2"/>
                <w:sz w:val="22"/>
                <w:szCs w:val="22"/>
              </w:rPr>
              <w:t>3 沈启 男 1987.1 高级工程师 博士 博锐尚格科技股份有限公司 系统数据结构构建</w:t>
            </w:r>
          </w:p>
          <w:p w14:paraId="5CDADEF4" w14:textId="77777777" w:rsidR="006D320D" w:rsidRPr="006D320D" w:rsidRDefault="006D320D" w:rsidP="006D320D">
            <w:pPr>
              <w:rPr>
                <w:kern w:val="2"/>
                <w:sz w:val="22"/>
                <w:szCs w:val="22"/>
              </w:rPr>
            </w:pPr>
            <w:r w:rsidRPr="006D320D">
              <w:rPr>
                <w:kern w:val="2"/>
                <w:sz w:val="22"/>
                <w:szCs w:val="22"/>
              </w:rPr>
              <w:t>4 杨勇 男 1985.3 工程师 硕士 博锐尚格科技股份有限公司 业务和技术流程设计、产品总体</w:t>
            </w:r>
          </w:p>
          <w:p w14:paraId="53A81593" w14:textId="77777777" w:rsidR="006D320D" w:rsidRPr="006D320D" w:rsidRDefault="006D320D" w:rsidP="006D320D">
            <w:pPr>
              <w:rPr>
                <w:kern w:val="2"/>
                <w:sz w:val="22"/>
                <w:szCs w:val="22"/>
              </w:rPr>
            </w:pPr>
            <w:r w:rsidRPr="006D320D">
              <w:rPr>
                <w:rFonts w:hint="eastAsia"/>
                <w:kern w:val="2"/>
                <w:sz w:val="22"/>
                <w:szCs w:val="22"/>
              </w:rPr>
              <w:t>把关</w:t>
            </w:r>
          </w:p>
          <w:p w14:paraId="7250878F" w14:textId="77777777" w:rsidR="006D320D" w:rsidRPr="006D320D" w:rsidRDefault="006D320D" w:rsidP="006D320D">
            <w:pPr>
              <w:rPr>
                <w:kern w:val="2"/>
                <w:sz w:val="22"/>
                <w:szCs w:val="22"/>
              </w:rPr>
            </w:pPr>
            <w:r w:rsidRPr="006D320D">
              <w:rPr>
                <w:kern w:val="2"/>
                <w:sz w:val="22"/>
                <w:szCs w:val="22"/>
              </w:rPr>
              <w:t>5 崔莹 女 1991.11 工程师 硕士 博锐尚格科技股份有限公司 业务模型研究、数据分析验证</w:t>
            </w:r>
          </w:p>
          <w:p w14:paraId="166D6D04" w14:textId="77777777" w:rsidR="006D320D" w:rsidRPr="006D320D" w:rsidRDefault="006D320D" w:rsidP="006D320D">
            <w:pPr>
              <w:rPr>
                <w:kern w:val="2"/>
                <w:sz w:val="22"/>
                <w:szCs w:val="22"/>
              </w:rPr>
            </w:pPr>
            <w:r w:rsidRPr="006D320D">
              <w:rPr>
                <w:kern w:val="2"/>
                <w:sz w:val="22"/>
                <w:szCs w:val="22"/>
              </w:rPr>
              <w:t>6 王鑫 男 1984.10 高级工程师 博士 博锐尚格科技股份有限公司 技术流程设计、理论模型确定</w:t>
            </w:r>
          </w:p>
          <w:p w14:paraId="7EFBF3DD" w14:textId="77777777" w:rsidR="006D320D" w:rsidRPr="006D320D" w:rsidRDefault="006D320D" w:rsidP="006D320D">
            <w:pPr>
              <w:rPr>
                <w:kern w:val="2"/>
                <w:sz w:val="22"/>
                <w:szCs w:val="22"/>
              </w:rPr>
            </w:pPr>
            <w:r w:rsidRPr="006D320D">
              <w:rPr>
                <w:kern w:val="2"/>
                <w:sz w:val="22"/>
                <w:szCs w:val="22"/>
              </w:rPr>
              <w:t>7 曾臻 男 1986.11 工程师 硕士 博锐尚格科技股份有限公司 研究技术路径整体规划设计</w:t>
            </w:r>
          </w:p>
          <w:p w14:paraId="22C75515" w14:textId="77777777" w:rsidR="006D320D" w:rsidRPr="006D320D" w:rsidRDefault="006D320D" w:rsidP="006D320D">
            <w:pPr>
              <w:rPr>
                <w:kern w:val="2"/>
                <w:sz w:val="22"/>
                <w:szCs w:val="22"/>
              </w:rPr>
            </w:pPr>
            <w:r w:rsidRPr="006D320D">
              <w:rPr>
                <w:kern w:val="2"/>
                <w:sz w:val="22"/>
                <w:szCs w:val="22"/>
              </w:rPr>
              <w:t>8 冯复汉 男 1982.1 工程师 硕士 博锐尚格科技股份有限公司 业务流程与应用场景设计</w:t>
            </w:r>
          </w:p>
          <w:p w14:paraId="5417BA67" w14:textId="77777777" w:rsidR="006D320D" w:rsidRPr="006D320D" w:rsidRDefault="006D320D" w:rsidP="006D320D">
            <w:pPr>
              <w:rPr>
                <w:kern w:val="2"/>
                <w:sz w:val="22"/>
                <w:szCs w:val="22"/>
              </w:rPr>
            </w:pPr>
            <w:r w:rsidRPr="006D320D">
              <w:rPr>
                <w:kern w:val="2"/>
                <w:sz w:val="22"/>
                <w:szCs w:val="22"/>
              </w:rPr>
              <w:t>9 孙一凫 男 1985.10 工程师 硕士 博锐尚格科技股份有限公司 算法框架构建、算法设计与实现</w:t>
            </w:r>
          </w:p>
          <w:p w14:paraId="2D56EEF7" w14:textId="77777777" w:rsidR="006D320D" w:rsidRPr="006D320D" w:rsidRDefault="006D320D" w:rsidP="006D320D">
            <w:pPr>
              <w:rPr>
                <w:kern w:val="2"/>
                <w:sz w:val="22"/>
                <w:szCs w:val="22"/>
              </w:rPr>
            </w:pPr>
            <w:r w:rsidRPr="006D320D">
              <w:rPr>
                <w:kern w:val="2"/>
                <w:sz w:val="22"/>
                <w:szCs w:val="22"/>
              </w:rPr>
              <w:t>10 戴伟 男 1991.4 工程师 硕士 博锐尚格科技股份有限公司 算法框架构建、算法设计与实现</w:t>
            </w:r>
          </w:p>
          <w:p w14:paraId="7B1A42A2" w14:textId="77777777" w:rsidR="006D320D" w:rsidRPr="006D320D" w:rsidRDefault="006D320D" w:rsidP="006D320D">
            <w:pPr>
              <w:rPr>
                <w:kern w:val="2"/>
                <w:sz w:val="22"/>
                <w:szCs w:val="22"/>
              </w:rPr>
            </w:pPr>
            <w:r w:rsidRPr="006D320D">
              <w:rPr>
                <w:kern w:val="2"/>
                <w:sz w:val="22"/>
                <w:szCs w:val="22"/>
              </w:rPr>
              <w:t>11 李昕 男 1993.2 工程师 学士 博锐尚格科技股份有限公司 算法设计与实现</w:t>
            </w:r>
          </w:p>
          <w:p w14:paraId="397B36F0" w14:textId="77777777" w:rsidR="006D320D" w:rsidRPr="006D320D" w:rsidRDefault="006D320D" w:rsidP="006D320D">
            <w:pPr>
              <w:rPr>
                <w:kern w:val="2"/>
                <w:sz w:val="22"/>
                <w:szCs w:val="22"/>
              </w:rPr>
            </w:pPr>
            <w:r w:rsidRPr="006D320D">
              <w:rPr>
                <w:kern w:val="2"/>
                <w:sz w:val="22"/>
                <w:szCs w:val="22"/>
              </w:rPr>
              <w:t>12 张善国 男 1984.11 工程师 学士 博锐尚格科技股份有限公司 产品框架搭建、产品开发</w:t>
            </w:r>
          </w:p>
          <w:p w14:paraId="46F77937" w14:textId="77777777" w:rsidR="006D320D" w:rsidRPr="006D320D" w:rsidRDefault="006D320D" w:rsidP="006D320D">
            <w:pPr>
              <w:rPr>
                <w:kern w:val="2"/>
                <w:sz w:val="22"/>
                <w:szCs w:val="22"/>
              </w:rPr>
            </w:pPr>
            <w:r w:rsidRPr="006D320D">
              <w:rPr>
                <w:kern w:val="2"/>
                <w:sz w:val="22"/>
                <w:szCs w:val="22"/>
              </w:rPr>
              <w:t>13 董虹言 女 1993.7 工程师 学士 博锐尚格科技股份有限公司 产品原型设计与功能规划</w:t>
            </w:r>
          </w:p>
          <w:p w14:paraId="1EF21FA1" w14:textId="77777777" w:rsidR="006D320D" w:rsidRPr="006D320D" w:rsidRDefault="006D320D" w:rsidP="006D320D">
            <w:pPr>
              <w:rPr>
                <w:kern w:val="2"/>
                <w:sz w:val="22"/>
                <w:szCs w:val="22"/>
              </w:rPr>
            </w:pPr>
            <w:r w:rsidRPr="006D320D">
              <w:rPr>
                <w:kern w:val="2"/>
                <w:sz w:val="22"/>
                <w:szCs w:val="22"/>
              </w:rPr>
              <w:t>14 白日磊 男 1987.9 工程师 学士 博锐尚格科技股份有限公司 项目应用推广、数据分析验证</w:t>
            </w:r>
          </w:p>
          <w:p w14:paraId="1B45FEF8" w14:textId="49B42580" w:rsidR="008F53BE" w:rsidRDefault="006D320D" w:rsidP="006D320D">
            <w:pPr>
              <w:rPr>
                <w:kern w:val="2"/>
                <w:sz w:val="22"/>
                <w:szCs w:val="22"/>
              </w:rPr>
            </w:pPr>
            <w:r w:rsidRPr="006D320D">
              <w:rPr>
                <w:kern w:val="2"/>
                <w:sz w:val="22"/>
                <w:szCs w:val="22"/>
              </w:rPr>
              <w:t>15 王艺璇 女 1994.4 工程师 硕士 博锐尚格科技股份有限公司 项目应用推广，数据整理分析</w:t>
            </w: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44DF8B19" w:rsidR="007D791E" w:rsidRDefault="00E95A69" w:rsidP="007D791E">
            <w:pPr>
              <w:rPr>
                <w:rFonts w:ascii="仿宋_GB2312" w:eastAsia="仿宋_GB2312"/>
                <w:sz w:val="28"/>
                <w:szCs w:val="28"/>
              </w:rPr>
            </w:pPr>
            <w:r w:rsidRPr="00E95A69">
              <w:rPr>
                <w:rFonts w:ascii="仿宋_GB2312" w:eastAsia="仿宋_GB2312" w:hint="eastAsia"/>
                <w:sz w:val="28"/>
                <w:szCs w:val="28"/>
              </w:rPr>
              <w:t>用设备运行模式识别和异常诊断服务可延长设备寿命</w:t>
            </w:r>
            <w:r w:rsidRPr="00E95A69">
              <w:rPr>
                <w:rFonts w:ascii="仿宋_GB2312" w:eastAsia="仿宋_GB2312"/>
                <w:sz w:val="28"/>
                <w:szCs w:val="28"/>
              </w:rPr>
              <w:t xml:space="preserve"> 15%，减少维保费用100 万/年，以 20 年运营周期为限，可节省约合计 2000 万。因此对于单体建筑，通过应用本项目，在全生命周期管理过程中总计可节省约9200 万</w:t>
            </w:r>
            <w:r w:rsidRPr="00E95A69">
              <w:rPr>
                <w:rFonts w:ascii="仿宋_GB2312" w:eastAsia="仿宋_GB2312"/>
                <w:sz w:val="28"/>
                <w:szCs w:val="28"/>
              </w:rPr>
              <w:lastRenderedPageBreak/>
              <w:t>元。假设本项目在全国 100 亿平米以上所有公共建筑中全面推广应用，覆盖商业、办公、酒店、医院等各类型建筑，则按上述测算，预计能带来每年800~1000 亿度节电量，人力费用节省 100~200 亿元/年，减少维保费用 200~300亿元/年，各项综合预计每年可节省费用约 1000 亿元以上。</w:t>
            </w:r>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lastRenderedPageBreak/>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714E1647" w14:textId="0E99DA0E" w:rsidR="00E95A69" w:rsidRPr="00E95A69" w:rsidRDefault="00E95A69" w:rsidP="00E95A69">
            <w:pPr>
              <w:rPr>
                <w:rFonts w:ascii="仿宋_GB2312" w:eastAsia="仿宋_GB2312"/>
                <w:sz w:val="28"/>
                <w:szCs w:val="28"/>
              </w:rPr>
            </w:pPr>
            <w:r w:rsidRPr="00E95A69">
              <w:rPr>
                <w:rFonts w:ascii="仿宋_GB2312" w:eastAsia="仿宋_GB2312" w:hint="eastAsia"/>
                <w:sz w:val="28"/>
                <w:szCs w:val="28"/>
              </w:rPr>
              <w:t>本项目已在实际工程中得到两年以上充分验证，成果应用于多个大型商业地产集团，该系统已接入接近</w:t>
            </w:r>
            <w:r w:rsidRPr="00E95A69">
              <w:rPr>
                <w:rFonts w:ascii="仿宋_GB2312" w:eastAsia="仿宋_GB2312"/>
                <w:sz w:val="28"/>
                <w:szCs w:val="28"/>
              </w:rPr>
              <w:t xml:space="preserve"> 1000 个各类公共建筑。根据多个大型商业地产集团500 余座、总面积超过 3200 万平米的公共建筑运行数据统计，已实现每年节电</w:t>
            </w:r>
            <w:r w:rsidRPr="00E95A69">
              <w:rPr>
                <w:rFonts w:ascii="仿宋_GB2312" w:eastAsia="仿宋_GB2312" w:hint="eastAsia"/>
                <w:sz w:val="28"/>
                <w:szCs w:val="28"/>
              </w:rPr>
              <w:t>量</w:t>
            </w:r>
            <w:r w:rsidRPr="00E95A69">
              <w:rPr>
                <w:rFonts w:ascii="仿宋_GB2312" w:eastAsia="仿宋_GB2312"/>
                <w:sz w:val="28"/>
                <w:szCs w:val="28"/>
              </w:rPr>
              <w:t xml:space="preserve"> 1.6 亿度，累计节电超过 5 亿度。经过长期大数据积累之后，可应用于建筑用</w:t>
            </w:r>
            <w:r w:rsidRPr="00E95A69">
              <w:rPr>
                <w:rFonts w:ascii="仿宋_GB2312" w:eastAsia="仿宋_GB2312" w:hint="eastAsia"/>
                <w:sz w:val="28"/>
                <w:szCs w:val="28"/>
              </w:rPr>
              <w:t>能目标的制定、管控、评价等各个阶段，对建筑能耗系统进行全过程高效管理。若以某</w:t>
            </w:r>
            <w:r w:rsidRPr="00E95A69">
              <w:rPr>
                <w:rFonts w:ascii="仿宋_GB2312" w:eastAsia="仿宋_GB2312"/>
                <w:sz w:val="28"/>
                <w:szCs w:val="28"/>
              </w:rPr>
              <w:t xml:space="preserve"> 60 万平方米商业综合体设计、施工耗时 5 年，运营 20 年为例，其全</w:t>
            </w:r>
            <w:r w:rsidRPr="00E95A69">
              <w:rPr>
                <w:rFonts w:ascii="仿宋_GB2312" w:eastAsia="仿宋_GB2312" w:hint="eastAsia"/>
                <w:sz w:val="28"/>
                <w:szCs w:val="28"/>
              </w:rPr>
              <w:t>生命周期经济效益测算如下：</w:t>
            </w:r>
          </w:p>
          <w:p w14:paraId="22AC49CA" w14:textId="0773B66A" w:rsidR="00E95A69" w:rsidRPr="00E95A69" w:rsidRDefault="00E95A69" w:rsidP="00E95A69">
            <w:pPr>
              <w:rPr>
                <w:rFonts w:ascii="仿宋_GB2312" w:eastAsia="仿宋_GB2312"/>
                <w:sz w:val="28"/>
                <w:szCs w:val="28"/>
              </w:rPr>
            </w:pPr>
            <w:r w:rsidRPr="00E95A69">
              <w:rPr>
                <w:rFonts w:ascii="仿宋_GB2312" w:eastAsia="仿宋_GB2312"/>
                <w:sz w:val="28"/>
                <w:szCs w:val="28"/>
              </w:rPr>
              <w:t>a) 利用能耗管控系统进行用能的全过程管控，假设该建筑能耗目标约每平米100 度电，总能耗每年约 6000 万度电，预计年节电量约 400 万度。以 20 年运营</w:t>
            </w:r>
            <w:r w:rsidRPr="00E95A69">
              <w:rPr>
                <w:rFonts w:ascii="仿宋_GB2312" w:eastAsia="仿宋_GB2312" w:hint="eastAsia"/>
                <w:sz w:val="28"/>
                <w:szCs w:val="28"/>
              </w:rPr>
              <w:t>周期计算，合计节省</w:t>
            </w:r>
            <w:r w:rsidRPr="00E95A69">
              <w:rPr>
                <w:rFonts w:ascii="仿宋_GB2312" w:eastAsia="仿宋_GB2312"/>
                <w:sz w:val="28"/>
                <w:szCs w:val="28"/>
              </w:rPr>
              <w:t xml:space="preserve"> 6000 万元。</w:t>
            </w:r>
          </w:p>
          <w:p w14:paraId="46979456" w14:textId="77777777" w:rsidR="00E95A69" w:rsidRPr="00E95A69" w:rsidRDefault="00E95A69" w:rsidP="00E95A69">
            <w:pPr>
              <w:rPr>
                <w:rFonts w:ascii="仿宋_GB2312" w:eastAsia="仿宋_GB2312"/>
                <w:sz w:val="28"/>
                <w:szCs w:val="28"/>
              </w:rPr>
            </w:pPr>
            <w:r w:rsidRPr="00E95A69">
              <w:rPr>
                <w:rFonts w:ascii="仿宋_GB2312" w:eastAsia="仿宋_GB2312"/>
                <w:sz w:val="28"/>
                <w:szCs w:val="28"/>
              </w:rPr>
              <w:t>b) 人力节省约 15%，折合费用 60 万/年，20 年运营周期节省合计约 1200 万元。</w:t>
            </w:r>
          </w:p>
          <w:p w14:paraId="62B577E8" w14:textId="429F4086" w:rsidR="007D791E" w:rsidRDefault="00E95A69" w:rsidP="00E95A69">
            <w:pPr>
              <w:rPr>
                <w:rFonts w:ascii="仿宋_GB2312" w:eastAsia="仿宋_GB2312"/>
                <w:sz w:val="28"/>
                <w:szCs w:val="28"/>
              </w:rPr>
            </w:pPr>
            <w:r w:rsidRPr="00E95A69">
              <w:rPr>
                <w:rFonts w:ascii="仿宋_GB2312" w:eastAsia="仿宋_GB2312"/>
                <w:sz w:val="28"/>
                <w:szCs w:val="28"/>
              </w:rPr>
              <w:t>c) 采用设备运行模式识别和异常诊断服务可延长设备寿命 15%，减少维保费用100 万/年，以 20 年运营周期为限，可节省约合计 2000 万。</w:t>
            </w:r>
            <w:r w:rsidRPr="00E95A69">
              <w:rPr>
                <w:rFonts w:ascii="仿宋_GB2312" w:eastAsia="仿宋_GB2312" w:hint="eastAsia"/>
                <w:sz w:val="28"/>
                <w:szCs w:val="28"/>
              </w:rPr>
              <w:t>因</w:t>
            </w:r>
            <w:r w:rsidRPr="00E95A69">
              <w:rPr>
                <w:rFonts w:ascii="仿宋_GB2312" w:eastAsia="仿宋_GB2312" w:hint="eastAsia"/>
                <w:sz w:val="28"/>
                <w:szCs w:val="28"/>
              </w:rPr>
              <w:lastRenderedPageBreak/>
              <w:t>此对于单体建筑，通过应用本项目，在全生命周期管理过程中总计可节省约</w:t>
            </w:r>
            <w:r w:rsidRPr="00E95A69">
              <w:rPr>
                <w:rFonts w:ascii="仿宋_GB2312" w:eastAsia="仿宋_GB2312"/>
                <w:sz w:val="28"/>
                <w:szCs w:val="28"/>
              </w:rPr>
              <w:t>9200 万元。假设本项目在全国 100 亿平米以上所有公共建筑中全面推广应用，</w:t>
            </w:r>
            <w:r w:rsidRPr="00E95A69">
              <w:rPr>
                <w:rFonts w:ascii="仿宋_GB2312" w:eastAsia="仿宋_GB2312" w:hint="eastAsia"/>
                <w:sz w:val="28"/>
                <w:szCs w:val="28"/>
              </w:rPr>
              <w:t>覆盖商业、办公、酒店、医院等各类型建筑，则按上述测算，预计能带来每年</w:t>
            </w:r>
            <w:r w:rsidRPr="00E95A69">
              <w:rPr>
                <w:rFonts w:ascii="仿宋_GB2312" w:eastAsia="仿宋_GB2312"/>
                <w:sz w:val="28"/>
                <w:szCs w:val="28"/>
              </w:rPr>
              <w:t>800~1000 亿度节电量，人力费用节省 100~200 亿元/年，减少维保费用</w:t>
            </w:r>
            <w:r>
              <w:rPr>
                <w:rFonts w:ascii="仿宋_GB2312" w:eastAsia="仿宋_GB2312"/>
                <w:sz w:val="28"/>
                <w:szCs w:val="28"/>
              </w:rPr>
              <w:t xml:space="preserve"> 200~300</w:t>
            </w:r>
            <w:r w:rsidRPr="00E95A69">
              <w:rPr>
                <w:rFonts w:ascii="仿宋_GB2312" w:eastAsia="仿宋_GB2312" w:hint="eastAsia"/>
                <w:sz w:val="28"/>
                <w:szCs w:val="28"/>
              </w:rPr>
              <w:t>亿元</w:t>
            </w:r>
            <w:r w:rsidRPr="00E95A69">
              <w:rPr>
                <w:rFonts w:ascii="仿宋_GB2312" w:eastAsia="仿宋_GB2312"/>
                <w:sz w:val="28"/>
                <w:szCs w:val="28"/>
              </w:rPr>
              <w:t>/年，各项综合预计每年可节省费用约 1000 亿元以上。</w:t>
            </w: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lastRenderedPageBreak/>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7D45E9F3" w:rsidR="007D791E" w:rsidRDefault="00E95A69" w:rsidP="007D791E">
            <w:pPr>
              <w:rPr>
                <w:rFonts w:ascii="仿宋_GB2312" w:eastAsia="仿宋_GB2312"/>
                <w:sz w:val="28"/>
                <w:szCs w:val="28"/>
              </w:rPr>
            </w:pPr>
            <w:r w:rsidRPr="00E95A69">
              <w:rPr>
                <w:rFonts w:ascii="仿宋_GB2312" w:eastAsia="仿宋_GB2312" w:hint="eastAsia"/>
                <w:sz w:val="28"/>
                <w:szCs w:val="28"/>
              </w:rPr>
              <w:t>李静原</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0A709131" w:rsidR="007D791E" w:rsidRDefault="00E95A69" w:rsidP="007D791E">
            <w:pPr>
              <w:rPr>
                <w:rFonts w:ascii="仿宋_GB2312" w:eastAsia="仿宋_GB2312"/>
                <w:sz w:val="28"/>
                <w:szCs w:val="28"/>
              </w:rPr>
            </w:pPr>
            <w:r w:rsidRPr="00E95A69">
              <w:rPr>
                <w:rFonts w:ascii="仿宋_GB2312" w:eastAsia="仿宋_GB2312"/>
                <w:sz w:val="28"/>
                <w:szCs w:val="28"/>
              </w:rPr>
              <w:t>18129861994</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194642E8" w:rsidR="007D791E" w:rsidRDefault="00E95A69" w:rsidP="007D791E">
            <w:pPr>
              <w:rPr>
                <w:rFonts w:ascii="仿宋_GB2312" w:eastAsia="仿宋_GB2312"/>
                <w:sz w:val="28"/>
                <w:szCs w:val="28"/>
              </w:rPr>
            </w:pPr>
            <w:r w:rsidRPr="00E95A69">
              <w:rPr>
                <w:rFonts w:ascii="仿宋_GB2312" w:eastAsia="仿宋_GB2312" w:hint="eastAsia"/>
                <w:sz w:val="28"/>
                <w:szCs w:val="28"/>
              </w:rPr>
              <w:t>博锐尚格科技股份有限公司</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02343E72" w:rsidR="007D791E" w:rsidRDefault="00E95A69" w:rsidP="007D791E">
            <w:pPr>
              <w:rPr>
                <w:rFonts w:ascii="仿宋_GB2312" w:eastAsia="仿宋_GB2312"/>
                <w:sz w:val="28"/>
                <w:szCs w:val="28"/>
              </w:rPr>
            </w:pPr>
            <w:r w:rsidRPr="00E95A69">
              <w:rPr>
                <w:rFonts w:ascii="仿宋_GB2312" w:eastAsia="仿宋_GB2312" w:hint="eastAsia"/>
                <w:sz w:val="28"/>
                <w:szCs w:val="28"/>
              </w:rPr>
              <w:t>北京市海淀区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2B2A72AD" w:rsidR="007D791E" w:rsidRDefault="00E95A69" w:rsidP="007D791E">
            <w:pPr>
              <w:rPr>
                <w:rFonts w:ascii="仿宋_GB2312" w:eastAsia="仿宋_GB2312"/>
                <w:sz w:val="28"/>
                <w:szCs w:val="28"/>
              </w:rPr>
            </w:pPr>
            <w:r w:rsidRPr="00E95A69">
              <w:rPr>
                <w:rFonts w:ascii="仿宋_GB2312" w:eastAsia="仿宋_GB2312" w:hint="eastAsia"/>
                <w:sz w:val="28"/>
                <w:szCs w:val="28"/>
              </w:rPr>
              <w:t>北京市海淀区西小口路</w:t>
            </w:r>
            <w:r w:rsidRPr="00E95A69">
              <w:rPr>
                <w:rFonts w:ascii="仿宋_GB2312" w:eastAsia="仿宋_GB2312"/>
                <w:sz w:val="28"/>
                <w:szCs w:val="28"/>
              </w:rPr>
              <w:t xml:space="preserve"> 18 号新华创新大厦 5 层</w:t>
            </w: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lastRenderedPageBreak/>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0145" w14:textId="77777777" w:rsidR="0061195D" w:rsidRDefault="0061195D" w:rsidP="00BB7F3A">
      <w:r>
        <w:separator/>
      </w:r>
    </w:p>
  </w:endnote>
  <w:endnote w:type="continuationSeparator" w:id="0">
    <w:p w14:paraId="2E5323E8" w14:textId="77777777" w:rsidR="0061195D" w:rsidRDefault="0061195D"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846F" w14:textId="77777777" w:rsidR="0061195D" w:rsidRDefault="0061195D" w:rsidP="00BB7F3A">
      <w:r>
        <w:separator/>
      </w:r>
    </w:p>
  </w:footnote>
  <w:footnote w:type="continuationSeparator" w:id="0">
    <w:p w14:paraId="17B7B40C" w14:textId="77777777" w:rsidR="0061195D" w:rsidRDefault="0061195D"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27744C"/>
    <w:rsid w:val="003311AF"/>
    <w:rsid w:val="00354D34"/>
    <w:rsid w:val="003D490B"/>
    <w:rsid w:val="003F1FC2"/>
    <w:rsid w:val="00475F77"/>
    <w:rsid w:val="004A0D71"/>
    <w:rsid w:val="004D5599"/>
    <w:rsid w:val="0057294E"/>
    <w:rsid w:val="0061195D"/>
    <w:rsid w:val="006D320D"/>
    <w:rsid w:val="00737154"/>
    <w:rsid w:val="00792E7D"/>
    <w:rsid w:val="007D791E"/>
    <w:rsid w:val="008F53BE"/>
    <w:rsid w:val="008F7FC7"/>
    <w:rsid w:val="009A7FA4"/>
    <w:rsid w:val="009D1247"/>
    <w:rsid w:val="00A51171"/>
    <w:rsid w:val="00A55F26"/>
    <w:rsid w:val="00A67C64"/>
    <w:rsid w:val="00AD03CC"/>
    <w:rsid w:val="00B41B9C"/>
    <w:rsid w:val="00BB2FC7"/>
    <w:rsid w:val="00BB4035"/>
    <w:rsid w:val="00BB7F3A"/>
    <w:rsid w:val="00C7773C"/>
    <w:rsid w:val="00DE43D9"/>
    <w:rsid w:val="00E95A6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liuxiaojing</cp:lastModifiedBy>
  <cp:revision>3</cp:revision>
  <dcterms:created xsi:type="dcterms:W3CDTF">2022-08-31T03:29:00Z</dcterms:created>
  <dcterms:modified xsi:type="dcterms:W3CDTF">2022-08-31T06:47:00Z</dcterms:modified>
</cp:coreProperties>
</file>