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09EB812F" w:rsidR="00BB7F3A" w:rsidRDefault="003C6129" w:rsidP="00FF1A1B">
            <w:pPr>
              <w:rPr>
                <w:rFonts w:ascii="仿宋_GB2312" w:eastAsia="仿宋_GB2312"/>
                <w:sz w:val="28"/>
                <w:szCs w:val="28"/>
              </w:rPr>
            </w:pPr>
            <w:r w:rsidRPr="003C6129">
              <w:rPr>
                <w:rFonts w:ascii="仿宋_GB2312" w:eastAsia="仿宋_GB2312" w:hint="eastAsia"/>
                <w:sz w:val="28"/>
                <w:szCs w:val="28"/>
              </w:rPr>
              <w:t>高效能数据并行处理与智能分析系统</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6BCFF309" w:rsidR="00BB7F3A" w:rsidRPr="00EB7807" w:rsidRDefault="003C6129" w:rsidP="00FF1A1B">
            <w:pPr>
              <w:rPr>
                <w:rFonts w:ascii="仿宋_GB2312" w:eastAsia="仿宋_GB2312"/>
                <w:sz w:val="28"/>
                <w:szCs w:val="28"/>
              </w:rPr>
            </w:pPr>
            <w:r w:rsidRPr="003C6129">
              <w:rPr>
                <w:rFonts w:ascii="仿宋_GB2312" w:eastAsia="仿宋_GB2312" w:hint="eastAsia"/>
                <w:sz w:val="28"/>
                <w:szCs w:val="28"/>
              </w:rPr>
              <w:t>计算机科学与技术</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39D911E2" w:rsidR="00BB7F3A" w:rsidRDefault="003C6129" w:rsidP="00FF1A1B">
            <w:pPr>
              <w:rPr>
                <w:rFonts w:ascii="仿宋_GB2312" w:eastAsia="仿宋_GB2312"/>
                <w:sz w:val="28"/>
                <w:szCs w:val="28"/>
              </w:rPr>
            </w:pPr>
            <w:r w:rsidRPr="003C6129">
              <w:rPr>
                <w:rFonts w:ascii="仿宋_GB2312" w:eastAsia="仿宋_GB2312" w:hint="eastAsia"/>
                <w:sz w:val="28"/>
                <w:szCs w:val="28"/>
              </w:rPr>
              <w:t>面向我国行业领域对大数据并行处理与智能分析技术和服务能力提出的迫切需求，项目组自</w:t>
            </w:r>
            <w:r w:rsidRPr="003C6129">
              <w:rPr>
                <w:rFonts w:ascii="仿宋_GB2312" w:eastAsia="仿宋_GB2312"/>
                <w:sz w:val="28"/>
                <w:szCs w:val="28"/>
              </w:rPr>
              <w:t>2014年以来在国家自然基金项目、中国工程院中国工程</w:t>
            </w:r>
            <w:r w:rsidRPr="003C6129">
              <w:rPr>
                <w:rFonts w:ascii="仿宋_GB2312" w:eastAsia="仿宋_GB2312"/>
                <w:sz w:val="28"/>
                <w:szCs w:val="28"/>
              </w:rPr>
              <w:lastRenderedPageBreak/>
              <w:t>科技知识中心建设项目等支持下就IDC数据中心、高速列车智能诊断、智慧医疗、教育数据分析与处理等领域的大数据采集、融合、存储与分析挖掘等关键环节进行技术攻关，研发了高效能数据并行处理与智能分析系统，从基础理论发现、关键技术突破、到大数据并行处理与智能分析平台的研制和应用，形成了具有自主知识产权的技术体系。该成果为相关行业提供数据存储、分析和挖掘的智能化云服务，有效降低传统企业基于</w:t>
            </w:r>
            <w:r w:rsidRPr="003C6129">
              <w:rPr>
                <w:rFonts w:ascii="仿宋_GB2312" w:eastAsia="仿宋_GB2312" w:hint="eastAsia"/>
                <w:sz w:val="28"/>
                <w:szCs w:val="28"/>
              </w:rPr>
              <w:t>超级计算机、云服务集群等来实现大数据智能分析的使用门槛</w:t>
            </w:r>
            <w:r>
              <w:rPr>
                <w:rFonts w:ascii="仿宋_GB2312" w:eastAsia="仿宋_GB2312" w:hint="eastAsia"/>
                <w:sz w:val="28"/>
                <w:szCs w:val="28"/>
              </w:rPr>
              <w:t>。</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2EA28BA8" w14:textId="77777777"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提出和研制了分布式异构环境中面向数据倾斜的任务时空调度算法；</w:t>
            </w:r>
          </w:p>
          <w:p w14:paraId="2CD465CD" w14:textId="77777777"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提出和研制了分布式异构环境下高效的资源管理系统与节能调度算法；</w:t>
            </w:r>
          </w:p>
          <w:p w14:paraId="6B524508" w14:textId="77777777"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提出了适应于机器学习</w:t>
            </w:r>
            <w:r w:rsidRPr="003C6129">
              <w:rPr>
                <w:rFonts w:ascii="仿宋_GB2312" w:eastAsia="仿宋_GB2312"/>
                <w:sz w:val="28"/>
                <w:szCs w:val="28"/>
              </w:rPr>
              <w:t>/深度学习算法迭代的分布式异构优化环境构建方法；</w:t>
            </w:r>
          </w:p>
          <w:p w14:paraId="4E2F42C2" w14:textId="77777777"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提出了面向机器学习</w:t>
            </w:r>
            <w:r w:rsidRPr="003C6129">
              <w:rPr>
                <w:rFonts w:ascii="仿宋_GB2312" w:eastAsia="仿宋_GB2312"/>
                <w:sz w:val="28"/>
                <w:szCs w:val="28"/>
              </w:rPr>
              <w:t>/图迭代算法的分布式并行优化方法。</w:t>
            </w:r>
          </w:p>
          <w:p w14:paraId="653C36F2" w14:textId="0620FA40" w:rsidR="008F53BE" w:rsidRDefault="003C6129" w:rsidP="003C6129">
            <w:pPr>
              <w:rPr>
                <w:rFonts w:ascii="仿宋_GB2312" w:eastAsia="仿宋_GB2312"/>
                <w:sz w:val="28"/>
                <w:szCs w:val="28"/>
              </w:rPr>
            </w:pPr>
            <w:r w:rsidRPr="003C6129">
              <w:rPr>
                <w:rFonts w:ascii="仿宋_GB2312" w:eastAsia="仿宋_GB2312" w:hint="eastAsia"/>
                <w:sz w:val="28"/>
                <w:szCs w:val="28"/>
              </w:rPr>
              <w:t>知识产权、经济和社会效益情况：</w:t>
            </w:r>
            <w:r w:rsidRPr="003C6129">
              <w:rPr>
                <w:rFonts w:ascii="仿宋_GB2312" w:eastAsia="仿宋_GB2312"/>
                <w:sz w:val="28"/>
                <w:szCs w:val="28"/>
              </w:rPr>
              <w:cr/>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44465A1" w:rsidR="007D791E" w:rsidRDefault="003C6129" w:rsidP="003C6129">
            <w:pPr>
              <w:rPr>
                <w:rFonts w:ascii="仿宋_GB2312" w:eastAsia="仿宋_GB2312"/>
                <w:sz w:val="28"/>
                <w:szCs w:val="28"/>
              </w:rPr>
            </w:pPr>
            <w:r w:rsidRPr="003C6129">
              <w:rPr>
                <w:rFonts w:ascii="仿宋_GB2312" w:eastAsia="仿宋_GB2312" w:hint="eastAsia"/>
                <w:sz w:val="28"/>
                <w:szCs w:val="28"/>
              </w:rPr>
              <w:t>近年来项目成果支撑了中国工程院中国工程科技知识中心建设项目、国家自然科学基金项目等多项国家、省部级项目中大数据和智能算法平台的研发与实现，解决了其算力瓶颈，有力促进了我国人工智能应用技术进步，推动了我国制造、交通、教育、医疗等行业智能软件产品的跨越式发展。项目成果成为了联想、证通电子、东华软件、天闻数媒等上市公司和行业龙头企业行业大数据与智能计算产品的核心组件，解决了其大规模任务调度与资源管理、数据并行处理与智能分析等关键问题。近年来实现经济效益</w:t>
            </w:r>
            <w:r w:rsidRPr="003C6129">
              <w:rPr>
                <w:rFonts w:ascii="仿宋_GB2312" w:eastAsia="仿宋_GB2312"/>
                <w:sz w:val="28"/>
                <w:szCs w:val="28"/>
              </w:rPr>
              <w:t xml:space="preserve"> 23.2 亿元。</w:t>
            </w:r>
          </w:p>
          <w:p w14:paraId="21307EAB" w14:textId="77777777" w:rsidR="008F53BE" w:rsidRDefault="008F53BE" w:rsidP="007D791E">
            <w:pPr>
              <w:rPr>
                <w:rFonts w:ascii="仿宋_GB2312" w:eastAsia="仿宋_GB2312"/>
                <w:sz w:val="28"/>
                <w:szCs w:val="28"/>
              </w:rPr>
            </w:pP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51C8EE8C" w14:textId="77777777" w:rsidR="008F53BE" w:rsidRDefault="008F53BE" w:rsidP="007D791E">
            <w:pPr>
              <w:rPr>
                <w:kern w:val="2"/>
                <w:sz w:val="22"/>
                <w:szCs w:val="22"/>
              </w:rPr>
            </w:pPr>
          </w:p>
          <w:p w14:paraId="17C6499A" w14:textId="389A5924" w:rsidR="003C6129" w:rsidRPr="003C6129" w:rsidRDefault="003C6129" w:rsidP="003C6129">
            <w:pPr>
              <w:rPr>
                <w:kern w:val="2"/>
                <w:sz w:val="22"/>
                <w:szCs w:val="22"/>
              </w:rPr>
            </w:pPr>
            <w:r>
              <w:rPr>
                <w:rFonts w:hint="eastAsia"/>
                <w:kern w:val="2"/>
                <w:sz w:val="22"/>
                <w:szCs w:val="22"/>
              </w:rPr>
              <w:t>1</w:t>
            </w:r>
            <w:r w:rsidRPr="003C6129">
              <w:rPr>
                <w:rFonts w:hint="eastAsia"/>
                <w:kern w:val="2"/>
                <w:sz w:val="22"/>
                <w:szCs w:val="22"/>
              </w:rPr>
              <w:t>唐卓</w:t>
            </w:r>
            <w:r w:rsidRPr="003C6129">
              <w:rPr>
                <w:kern w:val="2"/>
                <w:sz w:val="22"/>
                <w:szCs w:val="22"/>
              </w:rPr>
              <w:t xml:space="preserve"> 男 1981 年 11 月 教授 博士研究生 湖南大学 整体架构和调度算法</w:t>
            </w:r>
          </w:p>
          <w:p w14:paraId="2D0261B4" w14:textId="77777777" w:rsidR="003C6129" w:rsidRPr="003C6129" w:rsidRDefault="003C6129" w:rsidP="003C6129">
            <w:pPr>
              <w:rPr>
                <w:kern w:val="2"/>
                <w:sz w:val="22"/>
                <w:szCs w:val="22"/>
              </w:rPr>
            </w:pPr>
            <w:r w:rsidRPr="003C6129">
              <w:rPr>
                <w:kern w:val="2"/>
                <w:sz w:val="22"/>
                <w:szCs w:val="22"/>
              </w:rPr>
              <w:t>2 廖清 女 1988 年 04 月 副教授 博士研究生 哈尔滨工业大</w:t>
            </w:r>
          </w:p>
          <w:p w14:paraId="4F6AF82D" w14:textId="77777777" w:rsidR="003C6129" w:rsidRPr="003C6129" w:rsidRDefault="003C6129" w:rsidP="003C6129">
            <w:pPr>
              <w:rPr>
                <w:kern w:val="2"/>
                <w:sz w:val="22"/>
                <w:szCs w:val="22"/>
              </w:rPr>
            </w:pPr>
            <w:r w:rsidRPr="003C6129">
              <w:rPr>
                <w:rFonts w:hint="eastAsia"/>
                <w:kern w:val="2"/>
                <w:sz w:val="22"/>
                <w:szCs w:val="22"/>
              </w:rPr>
              <w:t>学（深圳）</w:t>
            </w:r>
          </w:p>
          <w:p w14:paraId="55BFC29E" w14:textId="77777777" w:rsidR="003C6129" w:rsidRPr="003C6129" w:rsidRDefault="003C6129" w:rsidP="003C6129">
            <w:pPr>
              <w:rPr>
                <w:kern w:val="2"/>
                <w:sz w:val="22"/>
                <w:szCs w:val="22"/>
              </w:rPr>
            </w:pPr>
            <w:r w:rsidRPr="003C6129">
              <w:rPr>
                <w:rFonts w:hint="eastAsia"/>
                <w:kern w:val="2"/>
                <w:sz w:val="22"/>
                <w:szCs w:val="22"/>
              </w:rPr>
              <w:t>任务调度与机器学习的分</w:t>
            </w:r>
          </w:p>
          <w:p w14:paraId="389A134C" w14:textId="77777777" w:rsidR="003C6129" w:rsidRPr="003C6129" w:rsidRDefault="003C6129" w:rsidP="003C6129">
            <w:pPr>
              <w:rPr>
                <w:kern w:val="2"/>
                <w:sz w:val="22"/>
                <w:szCs w:val="22"/>
              </w:rPr>
            </w:pPr>
            <w:r w:rsidRPr="003C6129">
              <w:rPr>
                <w:rFonts w:hint="eastAsia"/>
                <w:kern w:val="2"/>
                <w:sz w:val="22"/>
                <w:szCs w:val="22"/>
              </w:rPr>
              <w:t>布式异构环境构建</w:t>
            </w:r>
          </w:p>
          <w:p w14:paraId="09E313AB" w14:textId="77777777" w:rsidR="003C6129" w:rsidRPr="003C6129" w:rsidRDefault="003C6129" w:rsidP="003C6129">
            <w:pPr>
              <w:rPr>
                <w:kern w:val="2"/>
                <w:sz w:val="22"/>
                <w:szCs w:val="22"/>
              </w:rPr>
            </w:pPr>
            <w:r w:rsidRPr="003C6129">
              <w:rPr>
                <w:kern w:val="2"/>
                <w:sz w:val="22"/>
                <w:szCs w:val="22"/>
              </w:rPr>
              <w:t>3 李肯立 男 1971 年 10 月 教授 博士研究生 湖南大学 资源管理系统与节能调度</w:t>
            </w:r>
          </w:p>
          <w:p w14:paraId="67763E6B" w14:textId="77777777" w:rsidR="003C6129" w:rsidRPr="003C6129" w:rsidRDefault="003C6129" w:rsidP="003C6129">
            <w:pPr>
              <w:rPr>
                <w:kern w:val="2"/>
                <w:sz w:val="22"/>
                <w:szCs w:val="22"/>
              </w:rPr>
            </w:pPr>
            <w:r w:rsidRPr="003C6129">
              <w:rPr>
                <w:kern w:val="2"/>
                <w:sz w:val="22"/>
                <w:szCs w:val="22"/>
              </w:rPr>
              <w:t>4 肖国庆 男 1988 年 08 月 副教授 博士研究生 湖南大学 机器学习算法并行优化</w:t>
            </w:r>
          </w:p>
          <w:p w14:paraId="3E456AA9" w14:textId="77777777" w:rsidR="003C6129" w:rsidRPr="003C6129" w:rsidRDefault="003C6129" w:rsidP="003C6129">
            <w:pPr>
              <w:rPr>
                <w:kern w:val="2"/>
                <w:sz w:val="22"/>
                <w:szCs w:val="22"/>
              </w:rPr>
            </w:pPr>
            <w:r w:rsidRPr="003C6129">
              <w:rPr>
                <w:kern w:val="2"/>
                <w:sz w:val="22"/>
                <w:szCs w:val="22"/>
              </w:rPr>
              <w:t>5 曹嵘晖 男 1988 年 03 月 助理研究员 博士研究生 湖南大学 资源管理系统与节能调度</w:t>
            </w:r>
          </w:p>
          <w:p w14:paraId="08199C6E" w14:textId="77777777" w:rsidR="003C6129" w:rsidRPr="003C6129" w:rsidRDefault="003C6129" w:rsidP="003C6129">
            <w:pPr>
              <w:rPr>
                <w:kern w:val="2"/>
                <w:sz w:val="22"/>
                <w:szCs w:val="22"/>
              </w:rPr>
            </w:pPr>
            <w:r w:rsidRPr="003C6129">
              <w:rPr>
                <w:kern w:val="2"/>
                <w:sz w:val="22"/>
                <w:szCs w:val="22"/>
              </w:rPr>
              <w:t>6 蒋洪波 男 1976 年 11 月 教授 博士研究生 湖南大学 资源管理系统研制</w:t>
            </w:r>
          </w:p>
          <w:p w14:paraId="5992E2EE" w14:textId="77777777" w:rsidR="003C6129" w:rsidRPr="003C6129" w:rsidRDefault="003C6129" w:rsidP="003C6129">
            <w:pPr>
              <w:rPr>
                <w:kern w:val="2"/>
                <w:sz w:val="22"/>
                <w:szCs w:val="22"/>
              </w:rPr>
            </w:pPr>
            <w:r w:rsidRPr="003C6129">
              <w:rPr>
                <w:kern w:val="2"/>
                <w:sz w:val="22"/>
                <w:szCs w:val="22"/>
              </w:rPr>
              <w:t>7 肖正 男 1981 年 04 月 副教授 博士研究生 湖南大学 机器学习算法并行优化</w:t>
            </w:r>
          </w:p>
          <w:p w14:paraId="73189C6D" w14:textId="77777777" w:rsidR="003C6129" w:rsidRPr="003C6129" w:rsidRDefault="003C6129" w:rsidP="003C6129">
            <w:pPr>
              <w:rPr>
                <w:kern w:val="2"/>
                <w:sz w:val="22"/>
                <w:szCs w:val="22"/>
              </w:rPr>
            </w:pPr>
            <w:r w:rsidRPr="003C6129">
              <w:rPr>
                <w:kern w:val="2"/>
                <w:sz w:val="22"/>
                <w:szCs w:val="22"/>
              </w:rPr>
              <w:t>8 周旭 女 1983 年 04 月 副教授 博士研究生 湖南大学 领域数据智能分析与应用</w:t>
            </w:r>
          </w:p>
          <w:p w14:paraId="1B45FEF8" w14:textId="1235E4E1" w:rsidR="008F53BE" w:rsidRDefault="003C6129" w:rsidP="003C6129">
            <w:pPr>
              <w:rPr>
                <w:kern w:val="2"/>
                <w:sz w:val="22"/>
                <w:szCs w:val="22"/>
              </w:rPr>
            </w:pPr>
            <w:r w:rsidRPr="003C6129">
              <w:rPr>
                <w:kern w:val="2"/>
                <w:sz w:val="22"/>
                <w:szCs w:val="22"/>
              </w:rPr>
              <w:t>9 胡逸騉 男 1988 年 11 月 助理研究员 博士研究生 湖南大学 领域数据智能分析与应用</w:t>
            </w: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492319B3" w:rsidR="007D791E" w:rsidRDefault="003C6129" w:rsidP="007D791E">
            <w:pPr>
              <w:rPr>
                <w:rFonts w:ascii="仿宋_GB2312" w:eastAsia="仿宋_GB2312"/>
                <w:sz w:val="28"/>
                <w:szCs w:val="28"/>
              </w:rPr>
            </w:pPr>
            <w:r w:rsidRPr="003C6129">
              <w:rPr>
                <w:rFonts w:ascii="仿宋_GB2312" w:eastAsia="仿宋_GB2312" w:hint="eastAsia"/>
                <w:sz w:val="28"/>
                <w:szCs w:val="28"/>
              </w:rPr>
              <w:t>近三年来在行业云平台及大数据产品上的市场销售额达到</w:t>
            </w:r>
            <w:r w:rsidRPr="003C6129">
              <w:rPr>
                <w:rFonts w:ascii="仿宋_GB2312" w:eastAsia="仿宋_GB2312"/>
                <w:sz w:val="28"/>
                <w:szCs w:val="28"/>
              </w:rPr>
              <w:t xml:space="preserve"> 23.2 亿元。</w:t>
            </w:r>
            <w:r w:rsidRPr="003C6129">
              <w:rPr>
                <w:rFonts w:ascii="仿宋_GB2312" w:eastAsia="仿宋_GB2312"/>
                <w:sz w:val="28"/>
                <w:szCs w:val="28"/>
              </w:rPr>
              <w:cr/>
            </w:r>
          </w:p>
          <w:p w14:paraId="35A4ED3A" w14:textId="77777777" w:rsidR="008F53BE" w:rsidRDefault="008F53BE" w:rsidP="007D791E">
            <w:pPr>
              <w:rPr>
                <w:rFonts w:ascii="仿宋_GB2312" w:eastAsia="仿宋_GB2312"/>
                <w:sz w:val="28"/>
                <w:szCs w:val="28"/>
              </w:rPr>
            </w:pP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2D4C0D5D" w14:textId="6A9F468A"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w:t>
            </w:r>
            <w:r w:rsidRPr="003C6129">
              <w:rPr>
                <w:rFonts w:ascii="仿宋_GB2312" w:eastAsia="仿宋_GB2312"/>
                <w:sz w:val="28"/>
                <w:szCs w:val="28"/>
              </w:rPr>
              <w:t>1）在中国工程科技战略咨询平台上的应用。基于本项目成果完成了中国工</w:t>
            </w:r>
            <w:r w:rsidRPr="003C6129">
              <w:rPr>
                <w:rFonts w:ascii="仿宋_GB2312" w:eastAsia="仿宋_GB2312" w:hint="eastAsia"/>
                <w:sz w:val="28"/>
                <w:szCs w:val="28"/>
              </w:rPr>
              <w:t>程科技战略咨询平台中分布式的智能支持计算平台的建设。目前该平台已覆盖中文期刊论文</w:t>
            </w:r>
            <w:r w:rsidRPr="003C6129">
              <w:rPr>
                <w:rFonts w:ascii="仿宋_GB2312" w:eastAsia="仿宋_GB2312"/>
                <w:sz w:val="28"/>
                <w:szCs w:val="28"/>
              </w:rPr>
              <w:t xml:space="preserve"> 7500 万篇，外文期刊论文 1.4 亿篇，会议论文 950 万篇，能实时支撑海</w:t>
            </w:r>
            <w:r w:rsidRPr="003C6129">
              <w:rPr>
                <w:rFonts w:ascii="仿宋_GB2312" w:eastAsia="仿宋_GB2312" w:hint="eastAsia"/>
                <w:sz w:val="28"/>
                <w:szCs w:val="28"/>
              </w:rPr>
              <w:t>量用户在线查询，累计访问已超</w:t>
            </w:r>
            <w:r w:rsidRPr="003C6129">
              <w:rPr>
                <w:rFonts w:ascii="仿宋_GB2312" w:eastAsia="仿宋_GB2312"/>
                <w:sz w:val="28"/>
                <w:szCs w:val="28"/>
              </w:rPr>
              <w:t xml:space="preserve"> 500 万次。</w:t>
            </w:r>
          </w:p>
          <w:p w14:paraId="6EBD2A32" w14:textId="6057A644"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w:t>
            </w:r>
            <w:r w:rsidRPr="003C6129">
              <w:rPr>
                <w:rFonts w:ascii="仿宋_GB2312" w:eastAsia="仿宋_GB2312"/>
                <w:sz w:val="28"/>
                <w:szCs w:val="28"/>
              </w:rPr>
              <w:t>2）在教育大数据智能分析挖掘上的应用。针对各类教育产品与教育行业的</w:t>
            </w:r>
            <w:r w:rsidRPr="003C6129">
              <w:rPr>
                <w:rFonts w:ascii="仿宋_GB2312" w:eastAsia="仿宋_GB2312" w:hint="eastAsia"/>
                <w:sz w:val="28"/>
                <w:szCs w:val="28"/>
              </w:rPr>
              <w:t>具体需求，开展了时序数据预测、自然语言处理等人工智能算法与模型的研究及实现，有效提升了智能教育的应用范围。该平台通过合作企业在全国十余个城市的智慧教育建设中得到了广泛应用，接入中小学达到</w:t>
            </w:r>
            <w:r w:rsidRPr="003C6129">
              <w:rPr>
                <w:rFonts w:ascii="仿宋_GB2312" w:eastAsia="仿宋_GB2312"/>
                <w:sz w:val="28"/>
                <w:szCs w:val="28"/>
              </w:rPr>
              <w:t xml:space="preserve"> 100 余所，课程 20 余门，在线人</w:t>
            </w:r>
            <w:r w:rsidRPr="003C6129">
              <w:rPr>
                <w:rFonts w:ascii="仿宋_GB2312" w:eastAsia="仿宋_GB2312" w:hint="eastAsia"/>
                <w:sz w:val="28"/>
                <w:szCs w:val="28"/>
              </w:rPr>
              <w:t>数</w:t>
            </w:r>
            <w:r w:rsidRPr="003C6129">
              <w:rPr>
                <w:rFonts w:ascii="仿宋_GB2312" w:eastAsia="仿宋_GB2312"/>
                <w:sz w:val="28"/>
                <w:szCs w:val="28"/>
              </w:rPr>
              <w:t xml:space="preserve"> 10 万余人，取得了较好的经济效益和社会效益。</w:t>
            </w:r>
          </w:p>
          <w:p w14:paraId="2A672037" w14:textId="51FF247B"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w:t>
            </w:r>
            <w:r w:rsidRPr="003C6129">
              <w:rPr>
                <w:rFonts w:ascii="仿宋_GB2312" w:eastAsia="仿宋_GB2312"/>
                <w:sz w:val="28"/>
                <w:szCs w:val="28"/>
              </w:rPr>
              <w:t>3）在医疗行业数据处理与分析上的应用。作为核心组件及关键技术广泛应</w:t>
            </w:r>
            <w:r w:rsidRPr="003C6129">
              <w:rPr>
                <w:rFonts w:ascii="仿宋_GB2312" w:eastAsia="仿宋_GB2312" w:hint="eastAsia"/>
                <w:sz w:val="28"/>
                <w:szCs w:val="28"/>
              </w:rPr>
              <w:t>用于东华软件的数字医疗业务领域，为东华软件的智慧医疗解决方案提供了云计算与大数据采集、并行处理与智能化分析挖掘的基础设施，在产品销售中取得了较大的经济效益。</w:t>
            </w:r>
          </w:p>
          <w:p w14:paraId="0B1EB60A" w14:textId="45FA5DC6" w:rsidR="003C6129" w:rsidRPr="003C6129" w:rsidRDefault="003C6129" w:rsidP="003C6129">
            <w:pPr>
              <w:rPr>
                <w:rFonts w:ascii="仿宋_GB2312" w:eastAsia="仿宋_GB2312"/>
                <w:sz w:val="28"/>
                <w:szCs w:val="28"/>
              </w:rPr>
            </w:pPr>
            <w:r w:rsidRPr="003C6129">
              <w:rPr>
                <w:rFonts w:ascii="仿宋_GB2312" w:eastAsia="仿宋_GB2312" w:hint="eastAsia"/>
                <w:sz w:val="28"/>
                <w:szCs w:val="28"/>
              </w:rPr>
              <w:t>（</w:t>
            </w:r>
            <w:r w:rsidRPr="003C6129">
              <w:rPr>
                <w:rFonts w:ascii="仿宋_GB2312" w:eastAsia="仿宋_GB2312"/>
                <w:sz w:val="28"/>
                <w:szCs w:val="28"/>
              </w:rPr>
              <w:t>4）基于关键图片快速识别的高速列车故障诊断。基于我国现有异构超算平</w:t>
            </w:r>
            <w:r w:rsidRPr="003C6129">
              <w:rPr>
                <w:rFonts w:ascii="仿宋_GB2312" w:eastAsia="仿宋_GB2312" w:hint="eastAsia"/>
                <w:sz w:val="28"/>
                <w:szCs w:val="28"/>
              </w:rPr>
              <w:t>台和实时采集的图片、传感器等运行等数据，通过输出是否有故障、故障类别、故障等级、故障位置等多个目标，实现了一种列车故障快速自动检测与分析的系统。能实现对超百万张列车故障图片的实时检索。</w:t>
            </w:r>
          </w:p>
          <w:p w14:paraId="4F46EA83" w14:textId="1ADB5E24" w:rsidR="008F53BE" w:rsidRDefault="003C6129" w:rsidP="003C6129">
            <w:pPr>
              <w:rPr>
                <w:rFonts w:ascii="仿宋_GB2312" w:eastAsia="仿宋_GB2312"/>
                <w:sz w:val="28"/>
                <w:szCs w:val="28"/>
              </w:rPr>
            </w:pPr>
            <w:r w:rsidRPr="003C6129">
              <w:rPr>
                <w:rFonts w:ascii="仿宋_GB2312" w:eastAsia="仿宋_GB2312" w:hint="eastAsia"/>
                <w:sz w:val="28"/>
                <w:szCs w:val="28"/>
              </w:rPr>
              <w:t>（</w:t>
            </w:r>
            <w:r w:rsidRPr="003C6129">
              <w:rPr>
                <w:rFonts w:ascii="仿宋_GB2312" w:eastAsia="仿宋_GB2312"/>
                <w:sz w:val="28"/>
                <w:szCs w:val="28"/>
              </w:rPr>
              <w:t>5）在智慧城市云数据中心上的应用。直接应用于深圳市证通电子股份有限</w:t>
            </w:r>
            <w:r w:rsidRPr="003C6129">
              <w:rPr>
                <w:rFonts w:ascii="仿宋_GB2312" w:eastAsia="仿宋_GB2312" w:hint="eastAsia"/>
                <w:sz w:val="28"/>
                <w:szCs w:val="28"/>
              </w:rPr>
              <w:t>公司在深圳、广州、东莞、深圳四地投资建设运营的五个数据中心，成果分布式异构环境中面向数据倾斜的任务时空调度算法可极大提高证通云资源池产品“云栈”的资源利用率，缩短虚机与容器系统启动与迁移的时间，提升系统效率。在数据并行处理上任务调度算法与模型上的研究工作直接用于证通云</w:t>
            </w:r>
            <w:r w:rsidRPr="003C6129">
              <w:rPr>
                <w:rFonts w:ascii="仿宋_GB2312" w:eastAsia="仿宋_GB2312"/>
                <w:sz w:val="28"/>
                <w:szCs w:val="28"/>
              </w:rPr>
              <w:t xml:space="preserve"> PAAS 产品</w:t>
            </w:r>
            <w:r w:rsidRPr="003C6129">
              <w:rPr>
                <w:rFonts w:ascii="仿宋_GB2312" w:eastAsia="仿宋_GB2312"/>
                <w:sz w:val="28"/>
                <w:szCs w:val="28"/>
              </w:rPr>
              <w:t>“</w:t>
            </w:r>
            <w:r w:rsidRPr="003C6129">
              <w:rPr>
                <w:rFonts w:ascii="仿宋_GB2312" w:eastAsia="仿宋_GB2312"/>
                <w:sz w:val="28"/>
                <w:szCs w:val="28"/>
              </w:rPr>
              <w:t>云台</w:t>
            </w:r>
            <w:r w:rsidRPr="003C6129">
              <w:rPr>
                <w:rFonts w:ascii="仿宋_GB2312" w:eastAsia="仿宋_GB2312"/>
                <w:sz w:val="28"/>
                <w:szCs w:val="28"/>
              </w:rPr>
              <w:t>”</w:t>
            </w:r>
            <w:r w:rsidRPr="003C6129">
              <w:rPr>
                <w:rFonts w:ascii="仿宋_GB2312" w:eastAsia="仿宋_GB2312"/>
                <w:sz w:val="28"/>
                <w:szCs w:val="28"/>
              </w:rPr>
              <w:t>以</w:t>
            </w:r>
            <w:r w:rsidRPr="003C6129">
              <w:rPr>
                <w:rFonts w:ascii="仿宋_GB2312" w:eastAsia="仿宋_GB2312" w:hint="eastAsia"/>
                <w:sz w:val="28"/>
                <w:szCs w:val="28"/>
              </w:rPr>
              <w:t>及大数据平台产品“云数”，极大提升了其在处理海量数据和高并发访问时的效率，且降低了数据中心能耗。</w:t>
            </w: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69901CFB" w:rsidR="007D791E" w:rsidRDefault="003C6129" w:rsidP="007D791E">
            <w:pPr>
              <w:rPr>
                <w:rFonts w:ascii="仿宋_GB2312" w:eastAsia="仿宋_GB2312"/>
                <w:sz w:val="28"/>
                <w:szCs w:val="28"/>
              </w:rPr>
            </w:pPr>
            <w:r w:rsidRPr="003C6129">
              <w:rPr>
                <w:rFonts w:ascii="仿宋_GB2312" w:eastAsia="仿宋_GB2312" w:hint="eastAsia"/>
                <w:sz w:val="28"/>
                <w:szCs w:val="28"/>
              </w:rPr>
              <w:t>唐卓</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3313775F" w:rsidR="007D791E" w:rsidRDefault="003C6129" w:rsidP="007D791E">
            <w:pPr>
              <w:rPr>
                <w:rFonts w:ascii="仿宋_GB2312" w:eastAsia="仿宋_GB2312"/>
                <w:sz w:val="28"/>
                <w:szCs w:val="28"/>
              </w:rPr>
            </w:pPr>
            <w:r w:rsidRPr="003C6129">
              <w:rPr>
                <w:rFonts w:ascii="仿宋_GB2312" w:eastAsia="仿宋_GB2312"/>
                <w:sz w:val="28"/>
                <w:szCs w:val="28"/>
              </w:rPr>
              <w:t>18974935023</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6862134C" w:rsidR="007D791E" w:rsidRDefault="003C6129" w:rsidP="007D791E">
            <w:pPr>
              <w:rPr>
                <w:rFonts w:ascii="仿宋_GB2312" w:eastAsia="仿宋_GB2312"/>
                <w:sz w:val="28"/>
                <w:szCs w:val="28"/>
              </w:rPr>
            </w:pPr>
            <w:r w:rsidRPr="003C6129">
              <w:rPr>
                <w:rFonts w:ascii="仿宋_GB2312" w:eastAsia="仿宋_GB2312" w:hint="eastAsia"/>
                <w:sz w:val="28"/>
                <w:szCs w:val="28"/>
              </w:rPr>
              <w:t>湖南大学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5039D795" w:rsidR="007D791E" w:rsidRDefault="003C6129" w:rsidP="007D791E">
            <w:pPr>
              <w:rPr>
                <w:rFonts w:ascii="仿宋_GB2312" w:eastAsia="仿宋_GB2312"/>
                <w:sz w:val="28"/>
                <w:szCs w:val="28"/>
              </w:rPr>
            </w:pPr>
            <w:r w:rsidRPr="003C6129">
              <w:rPr>
                <w:rFonts w:ascii="仿宋_GB2312" w:eastAsia="仿宋_GB2312" w:hint="eastAsia"/>
                <w:sz w:val="28"/>
                <w:szCs w:val="28"/>
              </w:rPr>
              <w:t>湖南省长沙市岳麓区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53DA19B2" w:rsidR="007D791E" w:rsidRDefault="003C6129" w:rsidP="007D791E">
            <w:pPr>
              <w:rPr>
                <w:rFonts w:ascii="仿宋_GB2312" w:eastAsia="仿宋_GB2312"/>
                <w:sz w:val="28"/>
                <w:szCs w:val="28"/>
              </w:rPr>
            </w:pPr>
            <w:r w:rsidRPr="003C6129">
              <w:rPr>
                <w:rFonts w:ascii="仿宋_GB2312" w:eastAsia="仿宋_GB2312" w:hint="eastAsia"/>
                <w:sz w:val="28"/>
                <w:szCs w:val="28"/>
              </w:rPr>
              <w:t>湖南省长沙市岳麓区麓山南路</w:t>
            </w:r>
            <w:r w:rsidRPr="003C6129">
              <w:rPr>
                <w:rFonts w:ascii="仿宋_GB2312" w:eastAsia="仿宋_GB2312"/>
                <w:sz w:val="28"/>
                <w:szCs w:val="28"/>
              </w:rPr>
              <w:t>252号国家超级计算长沙中心</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750B" w14:textId="77777777" w:rsidR="0090316D" w:rsidRDefault="0090316D" w:rsidP="00BB7F3A">
      <w:r>
        <w:separator/>
      </w:r>
    </w:p>
  </w:endnote>
  <w:endnote w:type="continuationSeparator" w:id="0">
    <w:p w14:paraId="56688401" w14:textId="77777777" w:rsidR="0090316D" w:rsidRDefault="0090316D"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B241" w14:textId="77777777" w:rsidR="0090316D" w:rsidRDefault="0090316D" w:rsidP="00BB7F3A">
      <w:r>
        <w:separator/>
      </w:r>
    </w:p>
  </w:footnote>
  <w:footnote w:type="continuationSeparator" w:id="0">
    <w:p w14:paraId="4C92C686" w14:textId="77777777" w:rsidR="0090316D" w:rsidRDefault="0090316D"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C6129"/>
    <w:rsid w:val="003D490B"/>
    <w:rsid w:val="003F1FC2"/>
    <w:rsid w:val="00475F77"/>
    <w:rsid w:val="004A0D71"/>
    <w:rsid w:val="004D5599"/>
    <w:rsid w:val="0057294E"/>
    <w:rsid w:val="00737154"/>
    <w:rsid w:val="00792E7D"/>
    <w:rsid w:val="007D791E"/>
    <w:rsid w:val="008F53BE"/>
    <w:rsid w:val="008F7FC7"/>
    <w:rsid w:val="0090316D"/>
    <w:rsid w:val="009A7FA4"/>
    <w:rsid w:val="009D1247"/>
    <w:rsid w:val="00A51171"/>
    <w:rsid w:val="00A67C64"/>
    <w:rsid w:val="00AD03CC"/>
    <w:rsid w:val="00B41B9C"/>
    <w:rsid w:val="00BB2FC7"/>
    <w:rsid w:val="00BB4035"/>
    <w:rsid w:val="00BB7F3A"/>
    <w:rsid w:val="00C7773C"/>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2022-08-30T05:26:00Z</dcterms:created>
  <dcterms:modified xsi:type="dcterms:W3CDTF">2022-08-30T05:26:00Z</dcterms:modified>
</cp:coreProperties>
</file>