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4"/>
          <w:szCs w:val="44"/>
        </w:rPr>
      </w:pPr>
      <w:r>
        <w:rPr>
          <w:rFonts w:hint="eastAsia" w:ascii="仿宋_GB2312" w:eastAsia="仿宋_GB2312"/>
          <w:sz w:val="44"/>
          <w:szCs w:val="44"/>
        </w:rPr>
        <w:t>成果发布表单下载模板</w:t>
      </w:r>
    </w:p>
    <w:tbl>
      <w:tblPr>
        <w:tblStyle w:val="7"/>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2355"/>
        <w:gridCol w:w="716"/>
        <w:gridCol w:w="1000"/>
        <w:gridCol w:w="859"/>
        <w:gridCol w:w="595"/>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15" w:type="dxa"/>
            <w:gridSpan w:val="7"/>
            <w:shd w:val="clear" w:color="auto" w:fill="auto"/>
          </w:tcPr>
          <w:p>
            <w:pPr>
              <w:jc w:val="center"/>
              <w:rPr>
                <w:rFonts w:ascii="仿宋_GB2312" w:eastAsia="仿宋_GB2312"/>
                <w:b/>
                <w:bCs/>
                <w:kern w:val="0"/>
                <w:sz w:val="32"/>
                <w:szCs w:val="32"/>
              </w:rPr>
            </w:pPr>
            <w:r>
              <w:rPr>
                <w:rFonts w:hint="eastAsia" w:ascii="仿宋_GB2312" w:eastAsia="仿宋_GB2312"/>
                <w:b/>
                <w:bCs/>
                <w:kern w:val="0"/>
                <w:sz w:val="32"/>
                <w:szCs w:val="32"/>
              </w:rPr>
              <w:t>科技成果项目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pPr>
              <w:rPr>
                <w:rFonts w:ascii="仿宋_GB2312" w:eastAsia="仿宋_GB2312"/>
                <w:kern w:val="0"/>
                <w:sz w:val="28"/>
                <w:szCs w:val="28"/>
              </w:rPr>
            </w:pPr>
            <w:r>
              <w:rPr>
                <w:rFonts w:hint="eastAsia" w:ascii="仿宋_GB2312" w:eastAsia="仿宋_GB2312"/>
                <w:kern w:val="0"/>
                <w:sz w:val="28"/>
                <w:szCs w:val="28"/>
              </w:rPr>
              <w:t>成果标题</w:t>
            </w:r>
            <w:r>
              <w:rPr>
                <w:rFonts w:hint="eastAsia" w:ascii="仿宋_GB2312" w:eastAsia="仿宋_GB2312"/>
                <w:color w:val="C00000"/>
                <w:kern w:val="0"/>
                <w:sz w:val="28"/>
                <w:szCs w:val="28"/>
              </w:rPr>
              <w:t>*</w:t>
            </w:r>
          </w:p>
        </w:tc>
        <w:tc>
          <w:tcPr>
            <w:tcW w:w="6379" w:type="dxa"/>
            <w:gridSpan w:val="6"/>
          </w:tcPr>
          <w:p>
            <w:pPr>
              <w:rPr>
                <w:rFonts w:hint="default" w:ascii="仿宋_GB2312" w:eastAsia="仿宋_GB2312"/>
                <w:kern w:val="0"/>
                <w:sz w:val="28"/>
                <w:szCs w:val="28"/>
                <w:lang w:val="en-US" w:eastAsia="zh-CN"/>
              </w:rPr>
            </w:pPr>
            <w:r>
              <w:rPr>
                <w:rFonts w:hint="eastAsia" w:ascii="仿宋_GB2312" w:eastAsia="仿宋_GB2312"/>
                <w:kern w:val="0"/>
                <w:sz w:val="28"/>
                <w:szCs w:val="28"/>
              </w:rPr>
              <w:t xml:space="preserve"> </w:t>
            </w:r>
            <w:r>
              <w:rPr>
                <w:rFonts w:hint="eastAsia" w:ascii="仿宋_GB2312" w:eastAsia="仿宋_GB2312"/>
                <w:kern w:val="0"/>
                <w:sz w:val="28"/>
                <w:szCs w:val="28"/>
                <w:lang w:val="en-US" w:eastAsia="zh-CN"/>
              </w:rPr>
              <w:t>元宇宙数字空间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pPr>
              <w:rPr>
                <w:rFonts w:ascii="仿宋_GB2312" w:eastAsia="仿宋_GB2312"/>
                <w:kern w:val="0"/>
                <w:sz w:val="28"/>
                <w:szCs w:val="28"/>
              </w:rPr>
            </w:pPr>
            <w:r>
              <w:rPr>
                <w:rFonts w:hint="eastAsia" w:ascii="仿宋_GB2312" w:eastAsia="仿宋_GB2312"/>
                <w:kern w:val="0"/>
                <w:sz w:val="28"/>
                <w:szCs w:val="28"/>
              </w:rPr>
              <w:t>行业领域</w:t>
            </w:r>
            <w:r>
              <w:rPr>
                <w:rFonts w:hint="eastAsia" w:ascii="仿宋_GB2312" w:eastAsia="仿宋_GB2312"/>
                <w:color w:val="C00000"/>
                <w:kern w:val="0"/>
                <w:sz w:val="28"/>
                <w:szCs w:val="28"/>
              </w:rPr>
              <w:t>*</w:t>
            </w:r>
          </w:p>
        </w:tc>
        <w:tc>
          <w:tcPr>
            <w:tcW w:w="6379" w:type="dxa"/>
            <w:gridSpan w:val="6"/>
          </w:tcPr>
          <w:p>
            <w:pPr>
              <w:rPr>
                <w:rFonts w:hint="eastAsia" w:ascii="仿宋_GB2312" w:eastAsia="仿宋_GB2312"/>
                <w:kern w:val="0"/>
                <w:sz w:val="28"/>
                <w:szCs w:val="28"/>
                <w:lang w:val="en-US" w:eastAsia="zh-CN"/>
              </w:rPr>
            </w:pPr>
            <w:r>
              <w:rPr>
                <w:rFonts w:hint="eastAsia" w:ascii="仿宋_GB2312" w:eastAsia="仿宋_GB2312"/>
                <w:kern w:val="0"/>
                <w:sz w:val="28"/>
                <w:szCs w:val="28"/>
              </w:rPr>
              <w:t xml:space="preserve"> </w:t>
            </w:r>
            <w:r>
              <w:rPr>
                <w:rFonts w:hint="eastAsia" w:ascii="仿宋_GB2312" w:eastAsia="仿宋_GB2312"/>
                <w:kern w:val="0"/>
                <w:sz w:val="28"/>
                <w:szCs w:val="28"/>
                <w:lang w:val="en-US" w:eastAsia="zh-CN"/>
              </w:rPr>
              <w:t>人工智能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pPr>
              <w:rPr>
                <w:rFonts w:ascii="仿宋_GB2312" w:eastAsia="仿宋_GB2312"/>
                <w:kern w:val="0"/>
                <w:sz w:val="28"/>
                <w:szCs w:val="28"/>
              </w:rPr>
            </w:pPr>
            <w:r>
              <w:rPr>
                <w:rFonts w:hint="eastAsia" w:ascii="仿宋_GB2312" w:eastAsia="仿宋_GB2312"/>
                <w:kern w:val="0"/>
                <w:sz w:val="28"/>
                <w:szCs w:val="28"/>
              </w:rPr>
              <w:t>技术领域</w:t>
            </w:r>
            <w:r>
              <w:rPr>
                <w:rFonts w:hint="eastAsia" w:ascii="仿宋_GB2312" w:eastAsia="仿宋_GB2312"/>
                <w:color w:val="C00000"/>
                <w:kern w:val="0"/>
                <w:sz w:val="28"/>
                <w:szCs w:val="28"/>
              </w:rPr>
              <w:t>*</w:t>
            </w:r>
          </w:p>
        </w:tc>
        <w:tc>
          <w:tcPr>
            <w:tcW w:w="6379" w:type="dxa"/>
            <w:gridSpan w:val="6"/>
          </w:tcPr>
          <w:p>
            <w:pPr>
              <w:rPr>
                <w:rFonts w:ascii="仿宋_GB2312" w:eastAsia="仿宋_GB2312"/>
                <w:kern w:val="0"/>
                <w:sz w:val="28"/>
                <w:szCs w:val="28"/>
              </w:rPr>
            </w:pPr>
            <w:r>
              <w:rPr>
                <w:rFonts w:hint="eastAsia" w:ascii="仿宋_GB2312" w:eastAsia="仿宋_GB2312"/>
                <w:kern w:val="0"/>
                <w:sz w:val="28"/>
                <w:szCs w:val="28"/>
              </w:rPr>
              <w:t>绿色化工技术</w:t>
            </w:r>
            <w:r>
              <w:rPr>
                <w:rFonts w:hint="eastAsia" w:ascii="仿宋_GB2312" w:eastAsia="仿宋_GB2312"/>
                <w:b w:val="0"/>
                <w:bCs w:val="0"/>
                <w:color w:val="FF0000"/>
                <w:kern w:val="0"/>
                <w:sz w:val="28"/>
                <w:szCs w:val="28"/>
              </w:rPr>
              <w:sym w:font="Wingdings 2" w:char="0052"/>
            </w:r>
            <w:r>
              <w:rPr>
                <w:rFonts w:hint="eastAsia" w:ascii="仿宋_GB2312" w:eastAsia="仿宋_GB2312"/>
                <w:b w:val="0"/>
                <w:bCs w:val="0"/>
                <w:color w:val="FF0000"/>
                <w:kern w:val="0"/>
                <w:sz w:val="28"/>
                <w:szCs w:val="28"/>
              </w:rPr>
              <w:t xml:space="preserve"> 电子信息技术</w:t>
            </w:r>
            <w:r>
              <w:rPr>
                <w:rFonts w:hint="eastAsia" w:ascii="仿宋" w:hAnsi="仿宋" w:eastAsia="仿宋"/>
                <w:kern w:val="0"/>
                <w:sz w:val="30"/>
                <w:szCs w:val="30"/>
              </w:rPr>
              <w:t>■</w:t>
            </w:r>
            <w:r>
              <w:rPr>
                <w:rFonts w:hint="eastAsia" w:ascii="仿宋_GB2312" w:eastAsia="仿宋_GB2312"/>
                <w:kern w:val="0"/>
                <w:sz w:val="28"/>
                <w:szCs w:val="28"/>
              </w:rPr>
              <w:t xml:space="preserve"> 航空航天技术□ 先进制造技术□ 生物、医药和医疗器械技术□ 新材料及其应用□ 新能源与高效节能□ 环境保护和资源综合利用技术□ 核应用技术□ 农业技术□ 现代交通□ 城市建设和社会发展□ 现代纺织□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pPr>
              <w:rPr>
                <w:rFonts w:ascii="仿宋_GB2312" w:eastAsia="仿宋_GB2312"/>
                <w:kern w:val="0"/>
                <w:sz w:val="28"/>
                <w:szCs w:val="28"/>
              </w:rPr>
            </w:pPr>
            <w:r>
              <w:rPr>
                <w:rFonts w:hint="eastAsia" w:ascii="仿宋_GB2312" w:eastAsia="仿宋_GB2312"/>
                <w:kern w:val="0"/>
                <w:sz w:val="28"/>
                <w:szCs w:val="28"/>
              </w:rPr>
              <w:t>成熟度</w:t>
            </w:r>
            <w:r>
              <w:rPr>
                <w:rFonts w:hint="eastAsia" w:ascii="仿宋_GB2312" w:hAnsi="宋体" w:eastAsia="仿宋_GB2312"/>
                <w:color w:val="C00000"/>
                <w:kern w:val="0"/>
                <w:sz w:val="28"/>
                <w:szCs w:val="28"/>
              </w:rPr>
              <w:t>*</w:t>
            </w:r>
          </w:p>
        </w:tc>
        <w:tc>
          <w:tcPr>
            <w:tcW w:w="6379" w:type="dxa"/>
            <w:gridSpan w:val="6"/>
          </w:tcPr>
          <w:p>
            <w:pPr>
              <w:rPr>
                <w:rFonts w:ascii="仿宋_GB2312" w:eastAsia="仿宋_GB2312"/>
                <w:kern w:val="0"/>
                <w:sz w:val="28"/>
                <w:szCs w:val="28"/>
              </w:rPr>
            </w:pPr>
            <w:r>
              <w:rPr>
                <w:rFonts w:hint="eastAsia" w:ascii="仿宋_GB2312" w:eastAsia="仿宋_GB2312"/>
                <w:kern w:val="0"/>
                <w:sz w:val="28"/>
                <w:szCs w:val="28"/>
              </w:rPr>
              <w:t>报告级□ 方案级□ 功能级□ 仿真级别□ 初样级□ 正样级□ 环境级</w:t>
            </w:r>
            <w:r>
              <w:rPr>
                <w:rFonts w:hint="eastAsia" w:ascii="仿宋_GB2312" w:eastAsia="仿宋_GB2312"/>
                <w:color w:val="FF0000"/>
                <w:kern w:val="0"/>
                <w:sz w:val="28"/>
                <w:szCs w:val="28"/>
              </w:rPr>
              <w:sym w:font="Wingdings 2" w:char="0052"/>
            </w:r>
            <w:r>
              <w:rPr>
                <w:rFonts w:hint="eastAsia" w:ascii="仿宋_GB2312" w:eastAsia="仿宋_GB2312"/>
                <w:color w:val="FF0000"/>
                <w:kern w:val="0"/>
                <w:sz w:val="28"/>
                <w:szCs w:val="28"/>
              </w:rPr>
              <w:t xml:space="preserve"> 产品级</w:t>
            </w:r>
            <w:r>
              <w:rPr>
                <w:rFonts w:hint="eastAsia" w:ascii="仿宋_GB2312" w:eastAsia="仿宋_GB2312"/>
                <w:kern w:val="0"/>
                <w:sz w:val="28"/>
                <w:szCs w:val="28"/>
              </w:rPr>
              <w:t>□ 系统级□ 销售级</w:t>
            </w:r>
            <w:r>
              <w:rPr>
                <w:rFonts w:hint="eastAsia" w:ascii="仿宋" w:hAnsi="仿宋" w:eastAsia="仿宋"/>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pPr>
              <w:rPr>
                <w:rFonts w:ascii="仿宋_GB2312" w:eastAsia="仿宋_GB2312"/>
                <w:kern w:val="0"/>
                <w:sz w:val="28"/>
                <w:szCs w:val="28"/>
              </w:rPr>
            </w:pPr>
            <w:r>
              <w:rPr>
                <w:rFonts w:hint="eastAsia" w:ascii="仿宋_GB2312" w:eastAsia="仿宋_GB2312"/>
                <w:kern w:val="0"/>
                <w:sz w:val="28"/>
                <w:szCs w:val="28"/>
              </w:rPr>
              <w:t>合作方式</w:t>
            </w:r>
            <w:r>
              <w:rPr>
                <w:rFonts w:hint="eastAsia" w:ascii="仿宋_GB2312" w:hAnsi="宋体" w:eastAsia="仿宋_GB2312"/>
                <w:color w:val="C00000"/>
                <w:kern w:val="0"/>
                <w:sz w:val="28"/>
                <w:szCs w:val="28"/>
              </w:rPr>
              <w:t>*</w:t>
            </w:r>
          </w:p>
        </w:tc>
        <w:tc>
          <w:tcPr>
            <w:tcW w:w="6379" w:type="dxa"/>
            <w:gridSpan w:val="6"/>
          </w:tcPr>
          <w:p>
            <w:pPr>
              <w:rPr>
                <w:rFonts w:ascii="仿宋_GB2312" w:eastAsia="仿宋_GB2312"/>
                <w:kern w:val="0"/>
                <w:sz w:val="28"/>
                <w:szCs w:val="28"/>
              </w:rPr>
            </w:pPr>
            <w:r>
              <w:rPr>
                <w:rFonts w:hint="eastAsia" w:ascii="仿宋_GB2312" w:eastAsia="仿宋_GB2312"/>
                <w:kern w:val="0"/>
                <w:sz w:val="28"/>
                <w:szCs w:val="28"/>
              </w:rPr>
              <w:t>技术转让□ 技术许可□ 作价入股□ 合作开发</w:t>
            </w:r>
            <w:r>
              <w:rPr>
                <w:rFonts w:hint="eastAsia" w:ascii="仿宋" w:hAnsi="仿宋" w:eastAsia="仿宋"/>
                <w:kern w:val="0"/>
                <w:sz w:val="30"/>
                <w:szCs w:val="30"/>
              </w:rPr>
              <w:t>■</w:t>
            </w:r>
            <w:r>
              <w:rPr>
                <w:rFonts w:hint="eastAsia" w:ascii="仿宋_GB2312" w:eastAsia="仿宋_GB2312"/>
                <w:kern w:val="0"/>
                <w:sz w:val="28"/>
                <w:szCs w:val="28"/>
              </w:rPr>
              <w:t xml:space="preserve"> 技术咨询□ </w:t>
            </w:r>
            <w:r>
              <w:rPr>
                <w:rFonts w:hint="eastAsia" w:ascii="仿宋_GB2312" w:eastAsia="仿宋_GB2312"/>
                <w:color w:val="FF0000"/>
                <w:kern w:val="0"/>
                <w:sz w:val="28"/>
                <w:szCs w:val="28"/>
              </w:rPr>
              <w:t>技术服务</w:t>
            </w:r>
            <w:r>
              <w:rPr>
                <w:rFonts w:hint="eastAsia" w:ascii="仿宋_GB2312" w:eastAsia="仿宋_GB2312"/>
                <w:color w:val="FF0000"/>
                <w:kern w:val="0"/>
                <w:sz w:val="28"/>
                <w:szCs w:val="28"/>
              </w:rPr>
              <w:sym w:font="Wingdings 2" w:char="0052"/>
            </w:r>
            <w:r>
              <w:rPr>
                <w:rFonts w:hint="eastAsia" w:ascii="仿宋_GB2312" w:eastAsia="仿宋_GB2312"/>
                <w:kern w:val="0"/>
                <w:sz w:val="28"/>
                <w:szCs w:val="28"/>
              </w:rPr>
              <w:t xml:space="preserve"> 创业融资□ 股权融资□ 委托开发□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pPr>
              <w:rPr>
                <w:rFonts w:ascii="仿宋_GB2312" w:eastAsia="仿宋_GB2312"/>
                <w:kern w:val="0"/>
                <w:sz w:val="28"/>
                <w:szCs w:val="28"/>
              </w:rPr>
            </w:pPr>
            <w:r>
              <w:rPr>
                <w:rFonts w:hint="eastAsia" w:ascii="仿宋_GB2312" w:eastAsia="仿宋_GB2312"/>
                <w:kern w:val="0"/>
                <w:sz w:val="28"/>
                <w:szCs w:val="28"/>
              </w:rPr>
              <w:t>成果类型（多选）</w:t>
            </w:r>
            <w:r>
              <w:rPr>
                <w:rFonts w:hint="eastAsia" w:ascii="仿宋_GB2312" w:hAnsi="宋体" w:eastAsia="仿宋_GB2312"/>
                <w:color w:val="C00000"/>
                <w:kern w:val="0"/>
                <w:sz w:val="28"/>
                <w:szCs w:val="28"/>
              </w:rPr>
              <w:t>*</w:t>
            </w:r>
          </w:p>
        </w:tc>
        <w:tc>
          <w:tcPr>
            <w:tcW w:w="6379" w:type="dxa"/>
            <w:gridSpan w:val="6"/>
          </w:tcPr>
          <w:p>
            <w:pPr>
              <w:rPr>
                <w:rFonts w:ascii="仿宋_GB2312" w:eastAsia="仿宋_GB2312"/>
                <w:kern w:val="0"/>
                <w:sz w:val="28"/>
                <w:szCs w:val="28"/>
              </w:rPr>
            </w:pPr>
            <w:r>
              <w:rPr>
                <w:rFonts w:hint="eastAsia" w:ascii="仿宋_GB2312" w:eastAsia="仿宋_GB2312"/>
                <w:kern w:val="0"/>
                <w:sz w:val="28"/>
                <w:szCs w:val="28"/>
              </w:rPr>
              <w:t>发明专利</w:t>
            </w:r>
            <w:r>
              <w:rPr>
                <w:rFonts w:hint="eastAsia" w:ascii="仿宋" w:hAnsi="仿宋" w:eastAsia="仿宋"/>
                <w:kern w:val="0"/>
                <w:sz w:val="30"/>
                <w:szCs w:val="30"/>
              </w:rPr>
              <w:t>■</w:t>
            </w:r>
            <w:r>
              <w:rPr>
                <w:rFonts w:hint="eastAsia" w:ascii="仿宋_GB2312" w:eastAsia="仿宋_GB2312"/>
                <w:kern w:val="0"/>
                <w:sz w:val="28"/>
                <w:szCs w:val="28"/>
              </w:rPr>
              <w:t xml:space="preserve"> 实用新型专利□ 软件著作权□ 著作权□ 商标权□ 新品种□ 外观设计□ </w:t>
            </w:r>
            <w:r>
              <w:rPr>
                <w:rFonts w:hint="eastAsia" w:ascii="仿宋_GB2312" w:eastAsia="仿宋_GB2312"/>
                <w:color w:val="FF0000"/>
                <w:kern w:val="0"/>
                <w:sz w:val="28"/>
                <w:szCs w:val="28"/>
              </w:rPr>
              <w:t>新技术</w:t>
            </w:r>
            <w:r>
              <w:rPr>
                <w:rFonts w:hint="eastAsia" w:ascii="仿宋_GB2312" w:eastAsia="仿宋_GB2312"/>
                <w:color w:val="FF0000"/>
                <w:kern w:val="0"/>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pPr>
              <w:rPr>
                <w:rFonts w:ascii="仿宋_GB2312" w:eastAsia="仿宋_GB2312"/>
                <w:kern w:val="0"/>
                <w:sz w:val="28"/>
                <w:szCs w:val="28"/>
              </w:rPr>
            </w:pPr>
            <w:r>
              <w:rPr>
                <w:rFonts w:hint="eastAsia" w:ascii="仿宋_GB2312" w:eastAsia="仿宋_GB2312"/>
                <w:kern w:val="0"/>
                <w:sz w:val="28"/>
                <w:szCs w:val="28"/>
              </w:rPr>
              <w:t>交易金额</w:t>
            </w:r>
            <w:r>
              <w:rPr>
                <w:rFonts w:hint="eastAsia" w:ascii="仿宋_GB2312" w:hAnsi="宋体" w:eastAsia="仿宋_GB2312"/>
                <w:color w:val="C00000"/>
                <w:kern w:val="0"/>
                <w:sz w:val="28"/>
                <w:szCs w:val="28"/>
              </w:rPr>
              <w:t>*</w:t>
            </w:r>
          </w:p>
        </w:tc>
        <w:tc>
          <w:tcPr>
            <w:tcW w:w="6379" w:type="dxa"/>
            <w:gridSpan w:val="6"/>
          </w:tcPr>
          <w:p>
            <w:pPr>
              <w:rPr>
                <w:rFonts w:ascii="仿宋_GB2312" w:eastAsia="仿宋_GB2312"/>
                <w:kern w:val="0"/>
                <w:sz w:val="28"/>
                <w:szCs w:val="28"/>
              </w:rPr>
            </w:pPr>
            <w:r>
              <w:rPr>
                <w:rFonts w:hint="eastAsia" w:ascii="仿宋_GB2312" w:eastAsia="仿宋_GB2312"/>
                <w:kern w:val="0"/>
                <w:sz w:val="28"/>
                <w:szCs w:val="28"/>
                <w:u w:val="single"/>
                <w:lang w:val="en-US" w:eastAsia="zh-CN"/>
              </w:rPr>
              <w:t>10-20</w:t>
            </w:r>
            <w:r>
              <w:rPr>
                <w:rFonts w:hint="eastAsia" w:ascii="仿宋_GB2312" w:eastAsia="仿宋_GB2312"/>
                <w:kern w:val="0"/>
                <w:sz w:val="28"/>
                <w:szCs w:val="28"/>
              </w:rPr>
              <w:t>万元 双方协商</w:t>
            </w:r>
            <w:r>
              <w:rPr>
                <w:rFonts w:hint="eastAsia" w:ascii="仿宋" w:hAnsi="仿宋" w:eastAsia="仿宋"/>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215" w:type="dxa"/>
            <w:gridSpan w:val="7"/>
          </w:tcPr>
          <w:p>
            <w:pPr>
              <w:rPr>
                <w:rFonts w:ascii="仿宋_GB2312" w:eastAsia="仿宋_GB2312"/>
                <w:color w:val="C00000"/>
                <w:kern w:val="0"/>
                <w:sz w:val="28"/>
                <w:szCs w:val="28"/>
              </w:rPr>
            </w:pPr>
            <w:r>
              <w:rPr>
                <w:rFonts w:hint="eastAsia" w:ascii="仿宋_GB2312" w:eastAsia="仿宋_GB2312"/>
                <w:kern w:val="0"/>
                <w:sz w:val="28"/>
                <w:szCs w:val="28"/>
              </w:rPr>
              <w:t>成果介绍</w:t>
            </w:r>
            <w:r>
              <w:rPr>
                <w:rFonts w:hint="eastAsia" w:ascii="仿宋_GB2312" w:eastAsia="仿宋_GB2312"/>
                <w:color w:val="C00000"/>
                <w:kern w:val="0"/>
                <w:sz w:val="28"/>
                <w:szCs w:val="28"/>
              </w:rPr>
              <w:t>*（5</w:t>
            </w:r>
            <w:r>
              <w:rPr>
                <w:rFonts w:ascii="仿宋_GB2312" w:eastAsia="仿宋_GB2312"/>
                <w:color w:val="C00000"/>
                <w:kern w:val="0"/>
                <w:sz w:val="28"/>
                <w:szCs w:val="28"/>
              </w:rPr>
              <w:t>00-1000</w:t>
            </w:r>
            <w:r>
              <w:rPr>
                <w:rFonts w:hint="eastAsia" w:ascii="仿宋_GB2312" w:eastAsia="仿宋_GB2312"/>
                <w:color w:val="C00000"/>
                <w:kern w:val="0"/>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215" w:type="dxa"/>
            <w:gridSpan w:val="7"/>
          </w:tcPr>
          <w:p>
            <w:pPr>
              <w:ind w:firstLine="420" w:firstLineChars="200"/>
              <w:rPr>
                <w:rFonts w:hint="eastAsia"/>
              </w:rPr>
            </w:pPr>
            <w:r>
              <w:rPr>
                <w:rFonts w:hint="eastAsia"/>
                <w:b/>
                <w:bCs/>
              </w:rPr>
              <w:t>研发背景：</w:t>
            </w:r>
            <w:r>
              <w:rPr>
                <w:rFonts w:hint="eastAsia"/>
              </w:rPr>
              <w:t>疫情加速了数字化转型，31.3%的机构认为数字化收入是大方向，调查发现超过50%的机构已经开始了转型尝试，90%的会展主办机构尝试开拓数字化收入。总体而言，对会展数字化转型持乐观和积极态度的超过90%，超过77%的主办机构会希望通过合作伙伴来获取数字化技能。</w:t>
            </w:r>
          </w:p>
          <w:p>
            <w:pPr>
              <w:ind w:firstLine="420" w:firstLineChars="200"/>
              <w:rPr>
                <w:rFonts w:hint="eastAsia"/>
              </w:rPr>
            </w:pPr>
            <w:r>
              <w:rPr>
                <w:rFonts w:hint="eastAsia"/>
                <w:b/>
                <w:bCs/>
              </w:rPr>
              <w:t>产品简介：</w:t>
            </w:r>
            <w:r>
              <w:rPr>
                <w:rFonts w:hint="eastAsia"/>
              </w:rPr>
              <w:t>针对当前线上展会展品呈现单调、缺乏沟通交流体验、无法系统管理数字资产等诸多问题，影谱科技推出元宇宙数字空间（虚拟会展）一站式解决方案，赋能企业数字化转型。该解决方案基于智能视觉技术，提供云智一体的元宇宙基础设施和覆盖会展全流程的技术支持，为行业带来便捷、多样的元宇宙会展服务，共同挖掘元宇宙会展的差异化价值。会议主办者可根据会议规模、会议内容及会议议程设计，快速构建可容纳规模级用户的元宇宙会展空间，满足行业峰会、产品发布、论坛研讨、演讲培训、采访洽谈等多种会展场景，打造“永不落幕”的云会展。</w:t>
            </w:r>
          </w:p>
          <w:p>
            <w:pPr>
              <w:ind w:firstLine="420" w:firstLineChars="200"/>
              <w:rPr>
                <w:rFonts w:ascii="仿宋_GB2312" w:eastAsia="仿宋_GB2312"/>
                <w:kern w:val="0"/>
                <w:sz w:val="28"/>
                <w:szCs w:val="28"/>
              </w:rPr>
            </w:pPr>
            <w:r>
              <w:rPr>
                <w:rFonts w:hint="eastAsia"/>
                <w:b/>
                <w:bCs/>
              </w:rPr>
              <w:t>应用场景：</w:t>
            </w:r>
            <w:r>
              <w:rPr>
                <w:rFonts w:hint="eastAsia"/>
              </w:rPr>
              <w:t>行业峰会、专业展览等，也可应用于文化展览、企业年会等。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215" w:type="dxa"/>
            <w:gridSpan w:val="7"/>
          </w:tcPr>
          <w:p>
            <w:pPr>
              <w:rPr>
                <w:rFonts w:ascii="仿宋_GB2312" w:eastAsia="仿宋_GB2312"/>
                <w:color w:val="C00000"/>
                <w:kern w:val="0"/>
                <w:sz w:val="28"/>
                <w:szCs w:val="28"/>
              </w:rPr>
            </w:pPr>
            <w:r>
              <w:rPr>
                <w:rFonts w:hint="eastAsia" w:ascii="仿宋_GB2312" w:eastAsia="仿宋_GB2312"/>
                <w:kern w:val="0"/>
                <w:sz w:val="28"/>
                <w:szCs w:val="28"/>
              </w:rPr>
              <w:t>成果亮点</w:t>
            </w:r>
            <w:r>
              <w:rPr>
                <w:rFonts w:hint="eastAsia" w:ascii="仿宋_GB2312" w:eastAsia="仿宋_GB2312"/>
                <w:color w:val="C00000"/>
                <w:kern w:val="0"/>
                <w:sz w:val="28"/>
                <w:szCs w:val="28"/>
              </w:rPr>
              <w:t>*（5</w:t>
            </w:r>
            <w:r>
              <w:rPr>
                <w:rFonts w:ascii="仿宋_GB2312" w:eastAsia="仿宋_GB2312"/>
                <w:color w:val="C00000"/>
                <w:kern w:val="0"/>
                <w:sz w:val="28"/>
                <w:szCs w:val="28"/>
              </w:rPr>
              <w:t>00-1000</w:t>
            </w:r>
            <w:r>
              <w:rPr>
                <w:rFonts w:hint="eastAsia" w:ascii="仿宋_GB2312" w:eastAsia="仿宋_GB2312"/>
                <w:color w:val="C00000"/>
                <w:kern w:val="0"/>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215" w:type="dxa"/>
            <w:gridSpan w:val="7"/>
          </w:tcPr>
          <w:p>
            <w:pPr>
              <w:ind w:firstLine="420" w:firstLineChars="200"/>
              <w:rPr>
                <w:rFonts w:hint="eastAsia" w:ascii="等线" w:hAnsi="等线" w:eastAsia="等线" w:cs="等线"/>
                <w:kern w:val="0"/>
                <w:sz w:val="21"/>
                <w:szCs w:val="21"/>
              </w:rPr>
            </w:pPr>
            <w:r>
              <w:rPr>
                <w:rFonts w:hint="eastAsia" w:ascii="等线" w:hAnsi="等线" w:eastAsia="等线" w:cs="等线"/>
                <w:kern w:val="0"/>
                <w:sz w:val="21"/>
                <w:szCs w:val="21"/>
              </w:rPr>
              <w:t>1、交互式沉浸云展厅打造365天永不闭馆的元宇宙展示空间</w:t>
            </w:r>
          </w:p>
          <w:p>
            <w:pPr>
              <w:ind w:firstLine="420" w:firstLineChars="200"/>
              <w:rPr>
                <w:rFonts w:hint="eastAsia" w:ascii="等线" w:hAnsi="等线" w:eastAsia="等线" w:cs="等线"/>
                <w:kern w:val="0"/>
                <w:sz w:val="21"/>
                <w:szCs w:val="21"/>
              </w:rPr>
            </w:pPr>
            <w:r>
              <w:rPr>
                <w:rFonts w:hint="eastAsia" w:ascii="等线" w:hAnsi="等线" w:eastAsia="等线" w:cs="等线"/>
                <w:kern w:val="0"/>
                <w:sz w:val="21"/>
                <w:szCs w:val="21"/>
              </w:rPr>
              <w:t>影谱科技元宇宙会展解决方案将展会、展品、展商等信息融合在虚拟空间中，支持元宇宙发布会、产品博览会等多种活动场景，借助VR、XR、MR等技术，打造365天永不闭馆的元宇宙精巧展示空间。不论是搭建200平米的新奇展台效果来演示产品，还是构建1000平米的大型行业展览，策展方均可按需、快速地举办自己的元宇宙展览。</w:t>
            </w:r>
          </w:p>
          <w:p>
            <w:pPr>
              <w:ind w:firstLine="420" w:firstLineChars="200"/>
              <w:rPr>
                <w:rFonts w:hint="eastAsia" w:ascii="等线" w:hAnsi="等线" w:eastAsia="等线" w:cs="等线"/>
                <w:kern w:val="0"/>
                <w:sz w:val="21"/>
                <w:szCs w:val="21"/>
              </w:rPr>
            </w:pPr>
            <w:r>
              <w:rPr>
                <w:rFonts w:hint="eastAsia" w:ascii="等线" w:hAnsi="等线" w:eastAsia="等线" w:cs="等线"/>
                <w:kern w:val="0"/>
                <w:sz w:val="21"/>
                <w:szCs w:val="21"/>
              </w:rPr>
              <w:t>2、智能化数据分析促进运营转化增长</w:t>
            </w:r>
          </w:p>
          <w:p>
            <w:pPr>
              <w:ind w:firstLine="420" w:firstLineChars="200"/>
              <w:rPr>
                <w:rFonts w:hint="eastAsia" w:ascii="等线" w:hAnsi="等线" w:eastAsia="等线" w:cs="等线"/>
                <w:kern w:val="0"/>
                <w:sz w:val="21"/>
                <w:szCs w:val="21"/>
              </w:rPr>
            </w:pPr>
            <w:r>
              <w:rPr>
                <w:rFonts w:hint="eastAsia" w:ascii="等线" w:hAnsi="等线" w:eastAsia="等线" w:cs="等线"/>
                <w:kern w:val="0"/>
                <w:sz w:val="21"/>
                <w:szCs w:val="21"/>
              </w:rPr>
              <w:t>通过大数据和AI算法，实现对观众历次参会全过程的行为跟踪、数据积累和统计分析；同时结合日常运营管理工具，实现战略目标和决策优化，更清晰的观众和客户定位，从而不断提高展会效果通过用户画像数据收集，对数据进行清洗、精准圈选、营销触达、全链路运营等环节，将曝光用户数、触达用户数、潜在意向用户数最终转化为精准商机实际用户数。这些展会现场形成的用户数据的沉淀，最终将通过客户分层运营、商机配对等方式，助力主办方第二增长曲线上扬。</w:t>
            </w:r>
          </w:p>
          <w:p>
            <w:pPr>
              <w:ind w:firstLine="420" w:firstLineChars="200"/>
              <w:rPr>
                <w:rFonts w:hint="eastAsia" w:ascii="等线" w:hAnsi="等线" w:eastAsia="等线" w:cs="等线"/>
                <w:kern w:val="0"/>
                <w:sz w:val="21"/>
                <w:szCs w:val="21"/>
              </w:rPr>
            </w:pPr>
            <w:r>
              <w:rPr>
                <w:rFonts w:hint="eastAsia" w:ascii="等线" w:hAnsi="等线" w:eastAsia="等线" w:cs="等线"/>
                <w:kern w:val="0"/>
                <w:sz w:val="21"/>
                <w:szCs w:val="21"/>
              </w:rPr>
              <w:t>3、信息化会展服务加速流程自动化进程</w:t>
            </w:r>
          </w:p>
          <w:p>
            <w:pPr>
              <w:ind w:firstLine="420" w:firstLineChars="200"/>
              <w:rPr>
                <w:rFonts w:ascii="仿宋_GB2312" w:eastAsia="仿宋_GB2312"/>
                <w:kern w:val="0"/>
                <w:sz w:val="28"/>
                <w:szCs w:val="28"/>
              </w:rPr>
            </w:pPr>
            <w:r>
              <w:rPr>
                <w:rFonts w:hint="eastAsia" w:ascii="等线" w:hAnsi="等线" w:eastAsia="等线" w:cs="等线"/>
                <w:kern w:val="0"/>
                <w:sz w:val="21"/>
                <w:szCs w:val="21"/>
              </w:rPr>
              <w:t>影谱结合人工智能技术和实践能力，加快信息化会展的运营机制和流程再造，利用大数据开发平台进行管理和运营，以满足展览项目运营的需要。做到会展活动组织运维信息化、展管理和服务流程信息化、会展系统管理信息化三项会展信息化标准，真正实现了不受内容、形式、规模、距离和参展商限制的永不谢幕的智慧展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215" w:type="dxa"/>
            <w:gridSpan w:val="7"/>
          </w:tcPr>
          <w:p>
            <w:pPr>
              <w:rPr>
                <w:rFonts w:ascii="仿宋_GB2312" w:eastAsia="仿宋_GB2312"/>
                <w:kern w:val="0"/>
                <w:sz w:val="28"/>
                <w:szCs w:val="28"/>
              </w:rPr>
            </w:pPr>
            <w:r>
              <w:rPr>
                <w:rFonts w:hint="eastAsia" w:ascii="仿宋_GB2312" w:eastAsia="仿宋_GB2312"/>
                <w:kern w:val="0"/>
                <w:sz w:val="28"/>
                <w:szCs w:val="28"/>
              </w:rPr>
              <w:t>应用前景</w:t>
            </w:r>
            <w:r>
              <w:rPr>
                <w:rFonts w:hint="eastAsia" w:ascii="仿宋_GB2312" w:eastAsia="仿宋_GB2312"/>
                <w:color w:val="C00000"/>
                <w:kern w:val="0"/>
                <w:sz w:val="28"/>
                <w:szCs w:val="28"/>
              </w:rPr>
              <w:t>*（5</w:t>
            </w:r>
            <w:r>
              <w:rPr>
                <w:rFonts w:ascii="仿宋_GB2312" w:eastAsia="仿宋_GB2312"/>
                <w:color w:val="C00000"/>
                <w:kern w:val="0"/>
                <w:sz w:val="28"/>
                <w:szCs w:val="28"/>
              </w:rPr>
              <w:t>00-1000</w:t>
            </w:r>
            <w:r>
              <w:rPr>
                <w:rFonts w:hint="eastAsia" w:ascii="仿宋_GB2312" w:eastAsia="仿宋_GB2312"/>
                <w:color w:val="C00000"/>
                <w:kern w:val="0"/>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215" w:type="dxa"/>
            <w:gridSpan w:val="7"/>
          </w:tcPr>
          <w:p>
            <w:pPr>
              <w:ind w:firstLine="420" w:firstLineChars="200"/>
              <w:rPr>
                <w:rFonts w:hint="eastAsia" w:ascii="等线" w:hAnsi="等线" w:eastAsia="等线" w:cs="等线"/>
                <w:kern w:val="0"/>
                <w:sz w:val="21"/>
                <w:szCs w:val="21"/>
              </w:rPr>
            </w:pPr>
            <w:r>
              <w:rPr>
                <w:rFonts w:hint="eastAsia" w:ascii="等线" w:hAnsi="等线" w:eastAsia="等线" w:cs="等线"/>
                <w:kern w:val="0"/>
                <w:sz w:val="21"/>
                <w:szCs w:val="21"/>
              </w:rPr>
              <w:t>根据中国计算机行业协会元宇宙产业专委会的预测，当前中国元宇宙上下游产业规模已达到300亿元，未来五年或将突破2000亿元。聚焦于会展领域，来自国际展览业协会（UFI）的调研数据也显示，超过60%的会展受访者表达了对于VR等元宇宙应用的兴趣。巨大的行业前景及用户兴趣度，也为品牌方入局元宇宙会展注入了强劲信心。</w:t>
            </w:r>
          </w:p>
          <w:p>
            <w:pPr>
              <w:ind w:firstLine="420" w:firstLineChars="200"/>
              <w:rPr>
                <w:rFonts w:hint="eastAsia" w:ascii="等线" w:hAnsi="等线" w:eastAsia="等线" w:cs="等线"/>
                <w:kern w:val="0"/>
                <w:sz w:val="21"/>
                <w:szCs w:val="21"/>
              </w:rPr>
            </w:pPr>
            <w:r>
              <w:rPr>
                <w:rFonts w:hint="eastAsia" w:ascii="等线" w:hAnsi="等线" w:eastAsia="等线" w:cs="等线"/>
                <w:kern w:val="0"/>
                <w:sz w:val="21"/>
                <w:szCs w:val="21"/>
              </w:rPr>
              <w:t>从相对完整的定义来说，线上虚拟展览是指以营造虚拟体验为主要目标，通过3D建模、虚拟现实、增强现实、数字孪生、多媒体动画、视频技术、社交技术等技术手段相结合，实现会展参与对象、会展空间、展台、展品、对接项目等展示对象的虚拟化、数字化，为展会观众营造身临其境的沉浸式展示环境。实际上，元宇宙会展是线下会展的一个衍生，给线下会展补充了线下所不能得到的体验。在中国数字化加速发展的当下，有关部门多次明确指出要积极打造线上展览展示新平台。因此，无论是从政策角度，还是从市场需求出发，元宇宙会展都会成为越来越多企业的一种新选择。</w:t>
            </w:r>
          </w:p>
          <w:p>
            <w:pPr>
              <w:ind w:firstLine="420" w:firstLineChars="200"/>
              <w:rPr>
                <w:rFonts w:ascii="仿宋_GB2312" w:eastAsia="仿宋_GB2312"/>
                <w:kern w:val="0"/>
                <w:sz w:val="28"/>
                <w:szCs w:val="28"/>
              </w:rPr>
            </w:pPr>
            <w:r>
              <w:rPr>
                <w:rFonts w:hint="eastAsia" w:ascii="等线" w:hAnsi="等线" w:eastAsia="等线" w:cs="等线"/>
                <w:kern w:val="0"/>
                <w:sz w:val="21"/>
                <w:szCs w:val="21"/>
              </w:rPr>
              <w:t>在疫情防控背景之下，元宇宙会展受到更多重视。随着科技进步，人们希望得到更多新鲜的体验以及希望展会更加方便，不必舟车劳顿参加一个展会等等。实际上，无论有没有疫情，元宇宙都是未来趋势，疫情只不过加速了数字化变革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215" w:type="dxa"/>
            <w:gridSpan w:val="7"/>
          </w:tcPr>
          <w:p>
            <w:pPr>
              <w:rPr>
                <w:rFonts w:ascii="仿宋_GB2312" w:eastAsia="仿宋_GB2312"/>
                <w:kern w:val="0"/>
                <w:sz w:val="28"/>
                <w:szCs w:val="28"/>
              </w:rPr>
            </w:pPr>
            <w:r>
              <w:rPr>
                <w:rFonts w:hint="eastAsia" w:ascii="仿宋_GB2312" w:eastAsia="仿宋_GB2312"/>
                <w:kern w:val="0"/>
                <w:sz w:val="28"/>
                <w:szCs w:val="28"/>
              </w:rPr>
              <w:t>团队介绍</w:t>
            </w:r>
            <w:r>
              <w:rPr>
                <w:rFonts w:hint="eastAsia" w:ascii="仿宋_GB2312" w:eastAsia="仿宋_GB2312"/>
                <w:color w:val="C00000"/>
                <w:kern w:val="0"/>
                <w:sz w:val="28"/>
                <w:szCs w:val="28"/>
              </w:rPr>
              <w:t>*（5</w:t>
            </w:r>
            <w:r>
              <w:rPr>
                <w:rFonts w:ascii="仿宋_GB2312" w:eastAsia="仿宋_GB2312"/>
                <w:color w:val="C00000"/>
                <w:kern w:val="0"/>
                <w:sz w:val="28"/>
                <w:szCs w:val="28"/>
              </w:rPr>
              <w:t>00-1000</w:t>
            </w:r>
            <w:r>
              <w:rPr>
                <w:rFonts w:hint="eastAsia" w:ascii="仿宋_GB2312" w:eastAsia="仿宋_GB2312"/>
                <w:color w:val="C00000"/>
                <w:kern w:val="0"/>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215" w:type="dxa"/>
            <w:gridSpan w:val="7"/>
          </w:tcPr>
          <w:p>
            <w:pPr>
              <w:ind w:firstLine="420" w:firstLineChars="200"/>
              <w:rPr>
                <w:rFonts w:ascii="仿宋_GB2312" w:eastAsia="仿宋_GB2312"/>
                <w:kern w:val="0"/>
                <w:sz w:val="28"/>
                <w:szCs w:val="28"/>
              </w:rPr>
            </w:pPr>
            <w:r>
              <w:rPr>
                <w:rFonts w:hint="eastAsia" w:ascii="等线" w:hAnsi="等线" w:eastAsia="等线" w:cs="等线"/>
                <w:kern w:val="2"/>
                <w:sz w:val="21"/>
                <w:szCs w:val="21"/>
              </w:rPr>
              <w:t>影谱科技的技术人员占比超70%，核心技术团队来自于全球前沿的计算机视觉技术开发及研究机构，有超过十余年国际国内智能影像重大项目经验，拥有百余项自主知识产权。公司的主体架构划分为核心产业部门和融合产业部门。核心产业部门主要由提供基础设施和核心技术的科研人员构成；融合产业部门由应用层产品专家、商务战略人员构成。从本企业发展的实际进程看，技术与实体经济的加速融合和融合产业部门的发展是未来决定和影响企业在区域内竞争力的关键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215" w:type="dxa"/>
            <w:gridSpan w:val="7"/>
          </w:tcPr>
          <w:p>
            <w:pPr>
              <w:rPr>
                <w:rFonts w:ascii="仿宋_GB2312" w:eastAsia="仿宋_GB2312"/>
                <w:kern w:val="0"/>
                <w:sz w:val="28"/>
                <w:szCs w:val="28"/>
              </w:rPr>
            </w:pPr>
            <w:r>
              <w:rPr>
                <w:rFonts w:hint="eastAsia" w:ascii="仿宋_GB2312" w:eastAsia="仿宋_GB2312"/>
                <w:kern w:val="0"/>
                <w:sz w:val="28"/>
                <w:szCs w:val="28"/>
              </w:rPr>
              <w:t>产生的效益</w:t>
            </w:r>
            <w:r>
              <w:rPr>
                <w:rFonts w:hint="eastAsia" w:ascii="仿宋_GB2312" w:eastAsia="仿宋_GB2312"/>
                <w:color w:val="C00000"/>
                <w:kern w:val="0"/>
                <w:sz w:val="28"/>
                <w:szCs w:val="28"/>
              </w:rPr>
              <w:t>*（5</w:t>
            </w:r>
            <w:r>
              <w:rPr>
                <w:rFonts w:ascii="仿宋_GB2312" w:eastAsia="仿宋_GB2312"/>
                <w:color w:val="C00000"/>
                <w:kern w:val="0"/>
                <w:sz w:val="28"/>
                <w:szCs w:val="28"/>
              </w:rPr>
              <w:t>00-1000</w:t>
            </w:r>
            <w:r>
              <w:rPr>
                <w:rFonts w:hint="eastAsia" w:ascii="仿宋_GB2312" w:eastAsia="仿宋_GB2312"/>
                <w:color w:val="C00000"/>
                <w:kern w:val="0"/>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215" w:type="dxa"/>
            <w:gridSpan w:val="7"/>
          </w:tcPr>
          <w:p>
            <w:pPr>
              <w:ind w:firstLine="420" w:firstLineChars="200"/>
              <w:rPr>
                <w:rFonts w:hint="eastAsia" w:ascii="等线" w:hAnsi="等线" w:eastAsia="等线" w:cs="等线"/>
                <w:kern w:val="0"/>
                <w:sz w:val="21"/>
                <w:szCs w:val="21"/>
              </w:rPr>
            </w:pPr>
            <w:r>
              <w:rPr>
                <w:rFonts w:hint="eastAsia" w:ascii="等线" w:hAnsi="等线" w:eastAsia="等线" w:cs="等线"/>
                <w:kern w:val="0"/>
                <w:sz w:val="21"/>
                <w:szCs w:val="21"/>
              </w:rPr>
              <w:t>1、缓解传统会展业盈利困境、增厚研发企业利润</w:t>
            </w:r>
          </w:p>
          <w:p>
            <w:pPr>
              <w:ind w:firstLine="420" w:firstLineChars="200"/>
              <w:rPr>
                <w:rFonts w:hint="eastAsia" w:ascii="等线" w:hAnsi="等线" w:eastAsia="等线" w:cs="等线"/>
                <w:kern w:val="0"/>
                <w:sz w:val="21"/>
                <w:szCs w:val="21"/>
              </w:rPr>
            </w:pPr>
            <w:r>
              <w:rPr>
                <w:rFonts w:hint="eastAsia" w:ascii="等线" w:hAnsi="等线" w:eastAsia="等线" w:cs="等线"/>
                <w:kern w:val="0"/>
                <w:sz w:val="21"/>
                <w:szCs w:val="21"/>
              </w:rPr>
              <w:t>受疫情影响，会展活动暂停、收入锐减、现金断流、成本支出增加。根据中国展览馆协会调查显示，估计年营收减少50%-100%的企业占33.4%；估计损失30-50%的企业占35.2%；估计损失小于30%的企业占18.5%。随着元宇宙内容基础设施建设，90%的会展主办机构尝试开拓数字化收入，基于影谱ADT Meta版引擎开发的“元宇宙数字空间”符合会展数字化顶层战略规划，稳步推进了会展行业数字化进程，于参展观众而言，数字化场馆丰富了场景体验，于主办方而言，数字化搭建提升了技术服务能力。利润率方面，于研发企业自身而言，“元宇宙数字空间”积极创新的商业模式，提高了数字化业务收入的占比，降低对纯展会面积/会议门票销售等传统收入的依赖。于研发企业自身而言，增加了一类创新性业务收入，预计增厚当年利润10%-30%。</w:t>
            </w:r>
          </w:p>
          <w:p>
            <w:pPr>
              <w:ind w:firstLine="420" w:firstLineChars="200"/>
              <w:rPr>
                <w:rFonts w:hint="eastAsia" w:ascii="等线" w:hAnsi="等线" w:eastAsia="等线" w:cs="等线"/>
                <w:kern w:val="0"/>
                <w:sz w:val="21"/>
                <w:szCs w:val="21"/>
              </w:rPr>
            </w:pPr>
            <w:r>
              <w:rPr>
                <w:rFonts w:hint="eastAsia" w:ascii="等线" w:hAnsi="等线" w:eastAsia="等线" w:cs="等线"/>
                <w:kern w:val="0"/>
                <w:sz w:val="21"/>
                <w:szCs w:val="21"/>
              </w:rPr>
              <w:t>2、于赞助商而言，数字化露出强化了品牌曝光效率</w:t>
            </w:r>
          </w:p>
          <w:p>
            <w:pPr>
              <w:ind w:firstLine="420" w:firstLineChars="200"/>
              <w:rPr>
                <w:rFonts w:hint="eastAsia" w:ascii="等线" w:hAnsi="等线" w:eastAsia="等线" w:cs="等线"/>
                <w:kern w:val="0"/>
                <w:sz w:val="21"/>
                <w:szCs w:val="21"/>
              </w:rPr>
            </w:pPr>
            <w:r>
              <w:rPr>
                <w:rFonts w:hint="eastAsia" w:ascii="等线" w:hAnsi="等线" w:eastAsia="等线" w:cs="等线"/>
                <w:kern w:val="0"/>
                <w:sz w:val="21"/>
                <w:szCs w:val="21"/>
              </w:rPr>
              <w:t>针对展位品牌方和赞助商，提供物理世界真实商品与元宇宙虚拟商品的全真映射服务，将商品孪生体进行数字资产化，建立品牌与消费者/观众之间的联系。用户可以在虚拟展馆中快速浏览选择商品，深度了解商品功能和属性，随时随地与千里之外的参展商进行“面对面”的实时语音动作沟通，促进商务洽谈带动商业化增长。</w:t>
            </w:r>
          </w:p>
          <w:p>
            <w:pPr>
              <w:ind w:firstLine="420" w:firstLineChars="200"/>
              <w:rPr>
                <w:rFonts w:ascii="仿宋_GB2312" w:eastAsia="仿宋_GB2312"/>
                <w:kern w:val="0"/>
                <w:sz w:val="28"/>
                <w:szCs w:val="28"/>
              </w:rPr>
            </w:pPr>
            <w:r>
              <w:rPr>
                <w:rFonts w:hint="eastAsia" w:ascii="等线" w:hAnsi="等线" w:eastAsia="等线" w:cs="等线"/>
                <w:kern w:val="0"/>
                <w:sz w:val="21"/>
                <w:szCs w:val="21"/>
              </w:rPr>
              <w:t>该解决方案系数字化赋能展会行业和数字商业的联动，预计产生的经济效益较传统产业呈倍数递增。以数字商业为例，于参展赞助品牌而言，数字化露出是数字商业的一种变形表现，据前瞻产业研究院预测，2025年我国数字商业核心产业链市场规模将达6188亿元，年均增速38.6％。展会行业的数字化露出系该产业链中下游环节，将成为继互联网零售之后，商业生态的新生形态和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215" w:type="dxa"/>
            <w:gridSpan w:val="7"/>
          </w:tcPr>
          <w:p>
            <w:pPr>
              <w:rPr>
                <w:rFonts w:ascii="仿宋_GB2312" w:eastAsia="仿宋_GB2312"/>
                <w:color w:val="C00000"/>
                <w:kern w:val="0"/>
                <w:sz w:val="28"/>
                <w:szCs w:val="28"/>
              </w:rPr>
            </w:pPr>
            <w:r>
              <w:rPr>
                <w:rFonts w:hint="eastAsia" w:ascii="仿宋_GB2312" w:eastAsia="仿宋_GB2312"/>
                <w:kern w:val="0"/>
                <w:sz w:val="28"/>
                <w:szCs w:val="28"/>
              </w:rPr>
              <w:t>转化方式</w:t>
            </w:r>
            <w:r>
              <w:rPr>
                <w:rFonts w:hint="eastAsia" w:ascii="仿宋_GB2312" w:eastAsia="仿宋_GB2312"/>
                <w:color w:val="C00000"/>
                <w:kern w:val="0"/>
                <w:sz w:val="28"/>
                <w:szCs w:val="28"/>
              </w:rPr>
              <w:t>*（5</w:t>
            </w:r>
            <w:r>
              <w:rPr>
                <w:rFonts w:ascii="仿宋_GB2312" w:eastAsia="仿宋_GB2312"/>
                <w:color w:val="C00000"/>
                <w:kern w:val="0"/>
                <w:sz w:val="28"/>
                <w:szCs w:val="28"/>
              </w:rPr>
              <w:t>00-1000</w:t>
            </w:r>
            <w:r>
              <w:rPr>
                <w:rFonts w:hint="eastAsia" w:ascii="仿宋_GB2312" w:eastAsia="仿宋_GB2312"/>
                <w:color w:val="C00000"/>
                <w:kern w:val="0"/>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215" w:type="dxa"/>
            <w:gridSpan w:val="7"/>
          </w:tcPr>
          <w:p>
            <w:pPr>
              <w:ind w:firstLine="420" w:firstLineChars="200"/>
              <w:rPr>
                <w:rFonts w:hint="eastAsia" w:ascii="等线" w:hAnsi="等线" w:eastAsia="等线" w:cs="等线"/>
                <w:kern w:val="0"/>
                <w:sz w:val="21"/>
                <w:szCs w:val="21"/>
              </w:rPr>
            </w:pPr>
            <w:r>
              <w:rPr>
                <w:rFonts w:hint="eastAsia" w:ascii="等线" w:hAnsi="等线" w:eastAsia="等线" w:cs="等线"/>
                <w:kern w:val="0"/>
                <w:sz w:val="21"/>
                <w:szCs w:val="21"/>
                <w:lang w:val="en-US" w:eastAsia="zh-CN"/>
              </w:rPr>
              <w:t>转化方式：</w:t>
            </w:r>
            <w:r>
              <w:rPr>
                <w:rFonts w:hint="eastAsia" w:ascii="等线" w:hAnsi="等线" w:eastAsia="等线" w:cs="等线"/>
                <w:kern w:val="0"/>
                <w:sz w:val="21"/>
                <w:szCs w:val="21"/>
              </w:rPr>
              <w:t>自行投资实施转化</w:t>
            </w:r>
          </w:p>
          <w:p>
            <w:pPr>
              <w:ind w:firstLine="420" w:firstLineChars="200"/>
              <w:rPr>
                <w:rFonts w:ascii="仿宋_GB2312" w:eastAsia="仿宋_GB2312"/>
                <w:kern w:val="0"/>
                <w:sz w:val="28"/>
                <w:szCs w:val="28"/>
              </w:rPr>
            </w:pPr>
            <w:r>
              <w:rPr>
                <w:rFonts w:hint="eastAsia" w:ascii="等线" w:hAnsi="等线" w:eastAsia="等线" w:cs="等线"/>
                <w:kern w:val="0"/>
                <w:sz w:val="21"/>
                <w:szCs w:val="21"/>
              </w:rPr>
              <w:t>影谱科技“元宇宙数字空间”的基础底座（ADT引擎Meta版）及相关研发技术、专利知识产权等由企业自行开展科技成果转化。通过该方式实施科技成果转化，由影谱科技研发部门研发输出成果后，进行生产销售，获得市场回报。以影谱科技ADT引擎的科研成果转化为例，基于该引擎所产生的一站式解决方案（数字商业、数字文旅、数字展会、数字政务）、应客户需求自研的硬件设备、软件APP开发，均由通过该方式实施科技成果转化，直接生产软硬件核心部件，应用于国家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2836" w:type="dxa"/>
          </w:tcPr>
          <w:p>
            <w:pPr>
              <w:rPr>
                <w:rFonts w:ascii="仿宋_GB2312" w:eastAsia="仿宋_GB2312"/>
                <w:kern w:val="0"/>
                <w:sz w:val="28"/>
                <w:szCs w:val="28"/>
              </w:rPr>
            </w:pPr>
            <w:r>
              <w:rPr>
                <w:rFonts w:hint="eastAsia" w:ascii="仿宋_GB2312" w:eastAsia="仿宋_GB2312"/>
                <w:kern w:val="0"/>
                <w:sz w:val="28"/>
                <w:szCs w:val="28"/>
              </w:rPr>
              <w:t>成果资料</w:t>
            </w:r>
            <w:r>
              <w:rPr>
                <w:rFonts w:hint="eastAsia" w:ascii="仿宋_GB2312" w:eastAsia="仿宋_GB2312"/>
                <w:color w:val="C00000"/>
                <w:kern w:val="0"/>
                <w:sz w:val="28"/>
                <w:szCs w:val="28"/>
              </w:rPr>
              <w:t>*</w:t>
            </w:r>
          </w:p>
        </w:tc>
        <w:tc>
          <w:tcPr>
            <w:tcW w:w="6379" w:type="dxa"/>
            <w:gridSpan w:val="6"/>
          </w:tcPr>
          <w:p>
            <w:r>
              <w:drawing>
                <wp:inline distT="0" distB="0" distL="114300" distR="114300">
                  <wp:extent cx="4757420" cy="2358390"/>
                  <wp:effectExtent l="0" t="0" r="508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757420" cy="2358390"/>
                          </a:xfrm>
                          <a:prstGeom prst="rect">
                            <a:avLst/>
                          </a:prstGeom>
                          <a:noFill/>
                          <a:ln>
                            <a:noFill/>
                          </a:ln>
                        </pic:spPr>
                      </pic:pic>
                    </a:graphicData>
                  </a:graphic>
                </wp:inline>
              </w:drawing>
            </w:r>
          </w:p>
          <w:p>
            <w:r>
              <w:drawing>
                <wp:inline distT="0" distB="0" distL="114300" distR="114300">
                  <wp:extent cx="4447540" cy="1948180"/>
                  <wp:effectExtent l="0" t="0" r="1016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447540" cy="19481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2836" w:type="dxa"/>
          </w:tcPr>
          <w:p>
            <w:pPr>
              <w:rPr>
                <w:rFonts w:ascii="仿宋_GB2312" w:eastAsia="仿宋_GB2312"/>
                <w:kern w:val="0"/>
                <w:sz w:val="28"/>
                <w:szCs w:val="28"/>
              </w:rPr>
            </w:pPr>
            <w:r>
              <w:rPr>
                <w:rFonts w:hint="eastAsia" w:ascii="仿宋_GB2312" w:eastAsia="仿宋_GB2312"/>
                <w:kern w:val="0"/>
                <w:sz w:val="28"/>
                <w:szCs w:val="28"/>
              </w:rPr>
              <w:t>成果视频</w:t>
            </w:r>
          </w:p>
        </w:tc>
        <w:tc>
          <w:tcPr>
            <w:tcW w:w="6379" w:type="dxa"/>
            <w:gridSpan w:val="6"/>
          </w:tcPr>
          <w:p>
            <w:pP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pPr>
              <w:rPr>
                <w:rFonts w:ascii="仿宋_GB2312" w:eastAsia="仿宋_GB2312"/>
                <w:kern w:val="0"/>
                <w:sz w:val="28"/>
                <w:szCs w:val="28"/>
              </w:rPr>
            </w:pPr>
            <w:r>
              <w:rPr>
                <w:rFonts w:hint="eastAsia" w:ascii="仿宋_GB2312" w:eastAsia="仿宋_GB2312"/>
                <w:kern w:val="0"/>
                <w:sz w:val="28"/>
                <w:szCs w:val="28"/>
              </w:rPr>
              <w:t>联系人</w:t>
            </w:r>
            <w:r>
              <w:rPr>
                <w:rFonts w:hint="eastAsia" w:ascii="仿宋_GB2312" w:eastAsia="仿宋_GB2312"/>
                <w:color w:val="C00000"/>
                <w:kern w:val="0"/>
                <w:sz w:val="28"/>
                <w:szCs w:val="28"/>
              </w:rPr>
              <w:t>*</w:t>
            </w:r>
          </w:p>
        </w:tc>
        <w:tc>
          <w:tcPr>
            <w:tcW w:w="2268" w:type="dxa"/>
            <w:gridSpan w:val="2"/>
          </w:tcPr>
          <w:p>
            <w:pPr>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邹琳</w:t>
            </w:r>
          </w:p>
        </w:tc>
        <w:tc>
          <w:tcPr>
            <w:tcW w:w="1843" w:type="dxa"/>
            <w:gridSpan w:val="2"/>
          </w:tcPr>
          <w:p>
            <w:pPr>
              <w:rPr>
                <w:rFonts w:ascii="仿宋_GB2312" w:eastAsia="仿宋_GB2312"/>
                <w:kern w:val="0"/>
                <w:sz w:val="28"/>
                <w:szCs w:val="28"/>
              </w:rPr>
            </w:pPr>
            <w:r>
              <w:rPr>
                <w:rFonts w:hint="eastAsia" w:ascii="仿宋_GB2312" w:eastAsia="仿宋_GB2312"/>
                <w:kern w:val="0"/>
                <w:sz w:val="28"/>
                <w:szCs w:val="28"/>
              </w:rPr>
              <w:t>联系电话</w:t>
            </w:r>
            <w:r>
              <w:rPr>
                <w:rFonts w:hint="eastAsia" w:ascii="仿宋_GB2312" w:eastAsia="仿宋_GB2312"/>
                <w:color w:val="C00000"/>
                <w:kern w:val="0"/>
                <w:sz w:val="28"/>
                <w:szCs w:val="28"/>
              </w:rPr>
              <w:t>*</w:t>
            </w:r>
          </w:p>
        </w:tc>
        <w:tc>
          <w:tcPr>
            <w:tcW w:w="2268" w:type="dxa"/>
            <w:gridSpan w:val="2"/>
          </w:tcPr>
          <w:p>
            <w:pP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13811081369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pPr>
              <w:rPr>
                <w:rFonts w:ascii="仿宋_GB2312" w:eastAsia="仿宋_GB2312"/>
                <w:kern w:val="0"/>
                <w:sz w:val="28"/>
                <w:szCs w:val="28"/>
              </w:rPr>
            </w:pPr>
            <w:r>
              <w:rPr>
                <w:rFonts w:hint="eastAsia" w:ascii="仿宋_GB2312" w:eastAsia="仿宋_GB2312"/>
                <w:kern w:val="0"/>
                <w:sz w:val="28"/>
                <w:szCs w:val="28"/>
              </w:rPr>
              <w:t>单位名称</w:t>
            </w:r>
            <w:r>
              <w:rPr>
                <w:rFonts w:hint="eastAsia" w:ascii="仿宋_GB2312" w:eastAsia="仿宋_GB2312"/>
                <w:color w:val="C00000"/>
                <w:kern w:val="0"/>
                <w:sz w:val="28"/>
                <w:szCs w:val="28"/>
              </w:rPr>
              <w:t>*</w:t>
            </w:r>
          </w:p>
        </w:tc>
        <w:tc>
          <w:tcPr>
            <w:tcW w:w="6379" w:type="dxa"/>
            <w:gridSpan w:val="6"/>
          </w:tcPr>
          <w:p>
            <w:pP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北京影谱科技股份有限公司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pPr>
              <w:rPr>
                <w:rFonts w:ascii="仿宋_GB2312" w:eastAsia="仿宋_GB2312"/>
                <w:kern w:val="0"/>
                <w:sz w:val="28"/>
                <w:szCs w:val="28"/>
              </w:rPr>
            </w:pPr>
            <w:r>
              <w:rPr>
                <w:rFonts w:hint="eastAsia" w:ascii="仿宋_GB2312" w:eastAsia="仿宋_GB2312"/>
                <w:kern w:val="0"/>
                <w:sz w:val="28"/>
                <w:szCs w:val="28"/>
              </w:rPr>
              <w:t>所在地区</w:t>
            </w:r>
            <w:r>
              <w:rPr>
                <w:rFonts w:ascii="仿宋_GB2312" w:eastAsia="仿宋_GB2312"/>
                <w:color w:val="FF0000"/>
                <w:kern w:val="0"/>
                <w:sz w:val="28"/>
                <w:szCs w:val="28"/>
              </w:rPr>
              <w:t>*</w:t>
            </w:r>
          </w:p>
        </w:tc>
        <w:tc>
          <w:tcPr>
            <w:tcW w:w="6379" w:type="dxa"/>
            <w:gridSpan w:val="6"/>
          </w:tcPr>
          <w:p>
            <w:pP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中国-北京市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pPr>
              <w:rPr>
                <w:rFonts w:ascii="仿宋_GB2312" w:eastAsia="仿宋_GB2312"/>
                <w:kern w:val="0"/>
                <w:sz w:val="28"/>
                <w:szCs w:val="28"/>
              </w:rPr>
            </w:pPr>
            <w:r>
              <w:rPr>
                <w:rFonts w:hint="eastAsia" w:ascii="仿宋_GB2312" w:eastAsia="仿宋_GB2312"/>
                <w:kern w:val="0"/>
                <w:sz w:val="28"/>
                <w:szCs w:val="28"/>
              </w:rPr>
              <w:t>详细地址</w:t>
            </w:r>
            <w:r>
              <w:rPr>
                <w:rFonts w:hint="eastAsia" w:ascii="仿宋_GB2312" w:eastAsia="仿宋_GB2312"/>
                <w:color w:val="C00000"/>
                <w:kern w:val="0"/>
                <w:sz w:val="28"/>
                <w:szCs w:val="28"/>
              </w:rPr>
              <w:t>*</w:t>
            </w:r>
          </w:p>
        </w:tc>
        <w:tc>
          <w:tcPr>
            <w:tcW w:w="6379" w:type="dxa"/>
            <w:gridSpan w:val="6"/>
          </w:tcPr>
          <w:p>
            <w:pPr>
              <w:rPr>
                <w:rFonts w:ascii="仿宋_GB2312" w:eastAsia="仿宋_GB2312"/>
                <w:kern w:val="0"/>
                <w:sz w:val="28"/>
                <w:szCs w:val="28"/>
              </w:rPr>
            </w:pPr>
            <w:r>
              <w:rPr>
                <w:rFonts w:hint="eastAsia" w:ascii="仿宋_GB2312" w:eastAsia="仿宋_GB2312"/>
                <w:kern w:val="0"/>
                <w:sz w:val="28"/>
                <w:szCs w:val="28"/>
              </w:rPr>
              <w:t>北京市经开区经惠西路信创园A区5号楼-影谱大厦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pPr>
              <w:rPr>
                <w:rFonts w:ascii="仿宋_GB2312" w:eastAsia="仿宋_GB2312"/>
                <w:kern w:val="0"/>
                <w:sz w:val="28"/>
                <w:szCs w:val="28"/>
              </w:rPr>
            </w:pPr>
            <w:r>
              <w:rPr>
                <w:rFonts w:hint="eastAsia" w:ascii="仿宋_GB2312" w:eastAsia="仿宋_GB2312"/>
                <w:kern w:val="0"/>
                <w:sz w:val="28"/>
                <w:szCs w:val="28"/>
              </w:rPr>
              <w:t>拟转化落地试点城市（园区）</w:t>
            </w:r>
          </w:p>
        </w:tc>
        <w:tc>
          <w:tcPr>
            <w:tcW w:w="6379" w:type="dxa"/>
            <w:gridSpan w:val="6"/>
          </w:tcPr>
          <w:p>
            <w:pP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pPr>
              <w:rPr>
                <w:rFonts w:ascii="仿宋_GB2312" w:eastAsia="仿宋_GB2312"/>
                <w:kern w:val="0"/>
                <w:sz w:val="28"/>
                <w:szCs w:val="28"/>
              </w:rPr>
            </w:pPr>
            <w:r>
              <w:rPr>
                <w:rFonts w:hint="eastAsia" w:ascii="仿宋_GB2312" w:eastAsia="仿宋_GB2312"/>
                <w:kern w:val="0"/>
                <w:sz w:val="28"/>
                <w:szCs w:val="28"/>
              </w:rPr>
              <w:t>成果商业计划书</w:t>
            </w:r>
          </w:p>
        </w:tc>
        <w:tc>
          <w:tcPr>
            <w:tcW w:w="6379" w:type="dxa"/>
            <w:gridSpan w:val="6"/>
          </w:tcPr>
          <w:p>
            <w:pPr>
              <w:rPr>
                <w:rFonts w:ascii="仿宋_GB2312" w:hAnsi="仿宋_GB2312" w:eastAsia="仿宋_GB2312" w:cs="Times New Roman (正文 CS 字体)"/>
                <w:color w:val="7F7F7F"/>
                <w:kern w:val="2"/>
                <w:sz w:val="28"/>
                <w:szCs w:val="28"/>
              </w:rPr>
            </w:pPr>
            <w:r>
              <w:rPr>
                <w:rFonts w:hint="eastAsia" w:ascii="仿宋_GB2312" w:hAnsi="仿宋_GB2312" w:eastAsia="仿宋_GB2312" w:cs="Times New Roman (正文 CS 字体)"/>
                <w:color w:val="7F7F7F"/>
                <w:kern w:val="2"/>
                <w:sz w:val="28"/>
                <w:szCs w:val="28"/>
              </w:rPr>
              <w:t>可选择相关附件，支持格式：pdf、ppt。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pPr>
              <w:rPr>
                <w:rFonts w:ascii="仿宋_GB2312" w:eastAsia="仿宋_GB2312"/>
                <w:kern w:val="0"/>
                <w:sz w:val="28"/>
                <w:szCs w:val="28"/>
              </w:rPr>
            </w:pPr>
            <w:r>
              <w:rPr>
                <w:rFonts w:hint="eastAsia" w:ascii="仿宋_GB2312" w:eastAsia="仿宋_GB2312"/>
                <w:kern w:val="0"/>
                <w:sz w:val="28"/>
                <w:szCs w:val="28"/>
              </w:rPr>
              <w:t>是否为成果代理人</w:t>
            </w:r>
          </w:p>
        </w:tc>
        <w:tc>
          <w:tcPr>
            <w:tcW w:w="6379" w:type="dxa"/>
            <w:gridSpan w:val="6"/>
          </w:tcPr>
          <w:p>
            <w:pPr>
              <w:rPr>
                <w:rFonts w:ascii="仿宋_GB2312" w:eastAsia="仿宋_GB2312"/>
                <w:kern w:val="0"/>
                <w:sz w:val="28"/>
                <w:szCs w:val="28"/>
              </w:rPr>
            </w:pPr>
            <w:r>
              <w:rPr>
                <w:rFonts w:hint="eastAsia" w:ascii="仿宋_GB2312" w:eastAsia="仿宋_GB2312"/>
                <w:kern w:val="0"/>
                <w:sz w:val="28"/>
                <w:szCs w:val="28"/>
              </w:rPr>
              <w:t>是□ 否</w:t>
            </w:r>
            <w:r>
              <w:rPr>
                <w:rFonts w:hint="eastAsia" w:ascii="仿宋_GB2312" w:eastAsia="仿宋_GB2312"/>
                <w:kern w:val="0"/>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pPr>
              <w:rPr>
                <w:rFonts w:ascii="仿宋_GB2312" w:eastAsia="仿宋_GB2312"/>
                <w:kern w:val="0"/>
                <w:sz w:val="28"/>
                <w:szCs w:val="28"/>
              </w:rPr>
            </w:pPr>
            <w:r>
              <w:rPr>
                <w:rFonts w:hint="eastAsia" w:ascii="仿宋_GB2312" w:eastAsia="仿宋_GB2312"/>
                <w:kern w:val="0"/>
                <w:sz w:val="28"/>
                <w:szCs w:val="28"/>
              </w:rPr>
              <w:t>是否已有技术评定</w:t>
            </w:r>
          </w:p>
        </w:tc>
        <w:tc>
          <w:tcPr>
            <w:tcW w:w="6379" w:type="dxa"/>
            <w:gridSpan w:val="6"/>
          </w:tcPr>
          <w:p>
            <w:pPr>
              <w:rPr>
                <w:rFonts w:ascii="仿宋_GB2312" w:eastAsia="仿宋_GB2312"/>
                <w:kern w:val="0"/>
                <w:sz w:val="28"/>
                <w:szCs w:val="28"/>
              </w:rPr>
            </w:pPr>
            <w:r>
              <w:rPr>
                <w:rFonts w:hint="eastAsia" w:ascii="仿宋_GB2312" w:eastAsia="仿宋_GB2312"/>
                <w:kern w:val="0"/>
                <w:sz w:val="28"/>
                <w:szCs w:val="28"/>
              </w:rPr>
              <w:t>是□ 否</w:t>
            </w:r>
            <w:r>
              <w:rPr>
                <w:rFonts w:hint="eastAsia" w:ascii="仿宋_GB2312" w:eastAsia="仿宋_GB2312"/>
                <w:kern w:val="0"/>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pPr>
              <w:rPr>
                <w:rFonts w:ascii="仿宋_GB2312" w:eastAsia="仿宋_GB2312"/>
                <w:kern w:val="0"/>
                <w:sz w:val="28"/>
                <w:szCs w:val="28"/>
              </w:rPr>
            </w:pPr>
            <w:r>
              <w:rPr>
                <w:rFonts w:hint="eastAsia" w:ascii="仿宋_GB2312" w:eastAsia="仿宋_GB2312"/>
                <w:kern w:val="0"/>
                <w:sz w:val="28"/>
                <w:szCs w:val="28"/>
              </w:rPr>
              <w:t>是否参与路演</w:t>
            </w:r>
          </w:p>
        </w:tc>
        <w:tc>
          <w:tcPr>
            <w:tcW w:w="6379" w:type="dxa"/>
            <w:gridSpan w:val="6"/>
          </w:tcPr>
          <w:p>
            <w:pPr>
              <w:rPr>
                <w:rFonts w:ascii="仿宋_GB2312" w:eastAsia="仿宋_GB2312"/>
                <w:kern w:val="0"/>
                <w:sz w:val="28"/>
                <w:szCs w:val="28"/>
              </w:rPr>
            </w:pPr>
            <w:r>
              <w:rPr>
                <w:rFonts w:hint="eastAsia" w:ascii="仿宋_GB2312" w:eastAsia="仿宋_GB2312"/>
                <w:kern w:val="0"/>
                <w:sz w:val="28"/>
                <w:szCs w:val="28"/>
              </w:rPr>
              <w:t>是□ 否</w:t>
            </w:r>
            <w:r>
              <w:rPr>
                <w:rFonts w:hint="eastAsia" w:ascii="仿宋_GB2312" w:eastAsia="仿宋_GB2312"/>
                <w:kern w:val="0"/>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836" w:type="dxa"/>
            <w:vMerge w:val="restart"/>
          </w:tcPr>
          <w:p>
            <w:pPr>
              <w:rPr>
                <w:rFonts w:ascii="仿宋_GB2312" w:eastAsia="仿宋_GB2312"/>
                <w:kern w:val="0"/>
                <w:sz w:val="28"/>
                <w:szCs w:val="28"/>
              </w:rPr>
            </w:pPr>
            <w:r>
              <w:rPr>
                <w:rFonts w:hint="eastAsia" w:ascii="仿宋_GB2312" w:eastAsia="仿宋_GB2312"/>
                <w:kern w:val="0"/>
                <w:sz w:val="28"/>
                <w:szCs w:val="28"/>
              </w:rPr>
              <w:t>为此成果贡献服务的相关助力方</w:t>
            </w:r>
          </w:p>
        </w:tc>
        <w:tc>
          <w:tcPr>
            <w:tcW w:w="1559" w:type="dxa"/>
          </w:tcPr>
          <w:p>
            <w:pPr>
              <w:rPr>
                <w:rFonts w:ascii="仿宋_GB2312" w:eastAsia="仿宋_GB2312"/>
                <w:kern w:val="0"/>
                <w:sz w:val="28"/>
                <w:szCs w:val="28"/>
              </w:rPr>
            </w:pPr>
            <w:r>
              <w:rPr>
                <w:rFonts w:hint="eastAsia" w:ascii="仿宋_GB2312" w:eastAsia="仿宋_GB2312"/>
                <w:kern w:val="0"/>
                <w:sz w:val="28"/>
                <w:szCs w:val="28"/>
              </w:rPr>
              <w:t>试点城市（园区）</w:t>
            </w:r>
          </w:p>
        </w:tc>
        <w:tc>
          <w:tcPr>
            <w:tcW w:w="1701" w:type="dxa"/>
            <w:gridSpan w:val="2"/>
          </w:tcPr>
          <w:p>
            <w:pPr>
              <w:rPr>
                <w:rFonts w:ascii="仿宋_GB2312" w:eastAsia="仿宋_GB2312"/>
                <w:kern w:val="0"/>
                <w:sz w:val="28"/>
                <w:szCs w:val="28"/>
              </w:rPr>
            </w:pPr>
            <w:r>
              <w:rPr>
                <w:rFonts w:hint="eastAsia" w:ascii="仿宋_GB2312" w:eastAsia="仿宋_GB2312"/>
                <w:kern w:val="0"/>
                <w:sz w:val="28"/>
                <w:szCs w:val="28"/>
              </w:rPr>
              <w:t>科技服务团</w:t>
            </w:r>
          </w:p>
        </w:tc>
        <w:tc>
          <w:tcPr>
            <w:tcW w:w="1441" w:type="dxa"/>
            <w:gridSpan w:val="2"/>
          </w:tcPr>
          <w:p>
            <w:pPr>
              <w:rPr>
                <w:rFonts w:ascii="仿宋_GB2312" w:eastAsia="仿宋_GB2312"/>
                <w:kern w:val="0"/>
                <w:sz w:val="28"/>
                <w:szCs w:val="28"/>
              </w:rPr>
            </w:pPr>
            <w:r>
              <w:rPr>
                <w:rFonts w:hint="eastAsia" w:ascii="仿宋_GB2312" w:eastAsia="仿宋_GB2312"/>
                <w:kern w:val="0"/>
                <w:sz w:val="28"/>
                <w:szCs w:val="28"/>
              </w:rPr>
              <w:t>企业技术问题征集活动</w:t>
            </w:r>
          </w:p>
        </w:tc>
        <w:tc>
          <w:tcPr>
            <w:tcW w:w="1678" w:type="dxa"/>
          </w:tcPr>
          <w:p>
            <w:pPr>
              <w:rPr>
                <w:rFonts w:ascii="仿宋_GB2312" w:eastAsia="仿宋_GB2312"/>
                <w:kern w:val="0"/>
                <w:sz w:val="28"/>
                <w:szCs w:val="28"/>
              </w:rPr>
            </w:pPr>
            <w:r>
              <w:rPr>
                <w:rFonts w:hint="eastAsia" w:ascii="仿宋_GB2312" w:eastAsia="仿宋_GB2312"/>
                <w:kern w:val="0"/>
                <w:sz w:val="28"/>
                <w:szCs w:val="28"/>
              </w:rPr>
              <w:t>技术经理人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836" w:type="dxa"/>
            <w:vMerge w:val="continue"/>
          </w:tcPr>
          <w:p>
            <w:pPr>
              <w:rPr>
                <w:rFonts w:ascii="仿宋_GB2312" w:eastAsia="仿宋_GB2312"/>
                <w:kern w:val="0"/>
                <w:sz w:val="28"/>
                <w:szCs w:val="28"/>
              </w:rPr>
            </w:pPr>
          </w:p>
        </w:tc>
        <w:tc>
          <w:tcPr>
            <w:tcW w:w="1559" w:type="dxa"/>
          </w:tcPr>
          <w:p>
            <w:pPr>
              <w:rPr>
                <w:rFonts w:ascii="仿宋_GB2312" w:eastAsia="仿宋_GB2312"/>
                <w:kern w:val="0"/>
                <w:sz w:val="28"/>
                <w:szCs w:val="28"/>
              </w:rPr>
            </w:pPr>
          </w:p>
        </w:tc>
        <w:tc>
          <w:tcPr>
            <w:tcW w:w="1701" w:type="dxa"/>
            <w:gridSpan w:val="2"/>
          </w:tcPr>
          <w:p>
            <w:pPr>
              <w:rPr>
                <w:rFonts w:ascii="仿宋_GB2312" w:eastAsia="仿宋_GB2312"/>
                <w:kern w:val="0"/>
                <w:sz w:val="28"/>
                <w:szCs w:val="28"/>
              </w:rPr>
            </w:pPr>
          </w:p>
        </w:tc>
        <w:tc>
          <w:tcPr>
            <w:tcW w:w="1441" w:type="dxa"/>
            <w:gridSpan w:val="2"/>
          </w:tcPr>
          <w:p>
            <w:pPr>
              <w:rPr>
                <w:rFonts w:ascii="仿宋_GB2312" w:eastAsia="仿宋_GB2312"/>
                <w:kern w:val="0"/>
                <w:sz w:val="28"/>
                <w:szCs w:val="28"/>
              </w:rPr>
            </w:pPr>
          </w:p>
        </w:tc>
        <w:tc>
          <w:tcPr>
            <w:tcW w:w="1678" w:type="dxa"/>
          </w:tcPr>
          <w:p>
            <w:pP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tcPr>
          <w:p>
            <w:pPr>
              <w:rPr>
                <w:rFonts w:ascii="仿宋_GB2312" w:eastAsia="仿宋_GB2312"/>
                <w:kern w:val="0"/>
                <w:sz w:val="28"/>
                <w:szCs w:val="28"/>
              </w:rPr>
            </w:pPr>
            <w:r>
              <w:rPr>
                <w:rFonts w:hint="eastAsia" w:ascii="仿宋_GB2312" w:eastAsia="仿宋_GB2312"/>
                <w:kern w:val="0"/>
                <w:sz w:val="28"/>
                <w:szCs w:val="28"/>
              </w:rPr>
              <w:t>是否提交产业化落地方案</w:t>
            </w:r>
            <w:r>
              <w:rPr>
                <w:rFonts w:hint="eastAsia" w:ascii="仿宋_GB2312" w:eastAsia="仿宋_GB2312"/>
                <w:color w:val="C00000"/>
                <w:kern w:val="0"/>
                <w:sz w:val="28"/>
                <w:szCs w:val="28"/>
              </w:rPr>
              <w:t>*</w:t>
            </w:r>
          </w:p>
        </w:tc>
        <w:tc>
          <w:tcPr>
            <w:tcW w:w="6379" w:type="dxa"/>
            <w:gridSpan w:val="6"/>
          </w:tcPr>
          <w:p>
            <w:pPr>
              <w:rPr>
                <w:rFonts w:ascii="仿宋_GB2312" w:eastAsia="仿宋_GB2312"/>
                <w:kern w:val="0"/>
                <w:sz w:val="28"/>
                <w:szCs w:val="28"/>
              </w:rPr>
            </w:pPr>
            <w:r>
              <w:rPr>
                <w:rFonts w:hint="eastAsia" w:ascii="仿宋_GB2312" w:eastAsia="仿宋_GB2312"/>
                <w:color w:val="auto"/>
                <w:kern w:val="0"/>
                <w:sz w:val="28"/>
                <w:szCs w:val="28"/>
              </w:rPr>
              <w:t>是</w:t>
            </w:r>
            <w:r>
              <w:rPr>
                <w:rFonts w:hint="eastAsia" w:ascii="仿宋" w:hAnsi="仿宋" w:eastAsia="仿宋"/>
                <w:color w:val="auto"/>
                <w:kern w:val="0"/>
                <w:sz w:val="30"/>
                <w:szCs w:val="30"/>
              </w:rPr>
              <w:t>■</w:t>
            </w:r>
            <w:r>
              <w:rPr>
                <w:rFonts w:hint="eastAsia" w:ascii="仿宋_GB2312" w:eastAsia="仿宋_GB2312"/>
                <w:kern w:val="0"/>
                <w:sz w:val="28"/>
                <w:szCs w:val="28"/>
              </w:rPr>
              <w:t xml:space="preserve"> 否</w:t>
            </w:r>
            <w:r>
              <w:rPr>
                <w:rFonts w:hint="eastAsia" w:ascii="仿宋_GB2312" w:eastAsia="仿宋_GB2312"/>
                <w:kern w:val="0"/>
                <w:sz w:val="28"/>
                <w:szCs w:val="28"/>
              </w:rPr>
              <w:sym w:font="Wingdings 2" w:char="0052"/>
            </w:r>
          </w:p>
        </w:tc>
      </w:tr>
    </w:tbl>
    <w:p>
      <w:pPr>
        <w:rPr>
          <w:rFonts w:ascii="仿宋_GB2312" w:eastAsia="仿宋_GB2312"/>
          <w:color w:val="C00000"/>
          <w:sz w:val="28"/>
          <w:szCs w:val="28"/>
        </w:rPr>
      </w:pPr>
      <w:r>
        <w:rPr>
          <w:rFonts w:hint="eastAsia" w:ascii="仿宋_GB2312" w:eastAsia="仿宋_GB2312"/>
          <w:color w:val="C00000"/>
          <w:sz w:val="28"/>
          <w:szCs w:val="28"/>
        </w:rPr>
        <w:t>*为必填项</w:t>
      </w:r>
    </w:p>
    <w:p>
      <w:pPr>
        <w:rPr>
          <w:rFonts w:hint="eastAsia" w:ascii="仿宋_GB2312" w:eastAsia="仿宋_GB2312"/>
          <w:sz w:val="44"/>
          <w:szCs w:val="44"/>
        </w:rPr>
      </w:pPr>
    </w:p>
    <w:tbl>
      <w:tblPr>
        <w:tblStyle w:val="1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84"/>
        <w:gridCol w:w="992"/>
        <w:gridCol w:w="1134"/>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8359" w:type="dxa"/>
            <w:gridSpan w:val="5"/>
            <w:shd w:val="clear" w:color="auto" w:fill="auto"/>
            <w:vAlign w:val="center"/>
          </w:tcPr>
          <w:p>
            <w:pPr>
              <w:jc w:val="center"/>
              <w:rPr>
                <w:rFonts w:ascii="仿宋_GB2312" w:hAnsi="微软雅黑 Light" w:eastAsia="仿宋_GB2312" w:cs="Times New Roman (正文 CS 字体)"/>
                <w:b/>
                <w:bCs/>
                <w:sz w:val="32"/>
                <w:szCs w:val="32"/>
              </w:rPr>
            </w:pPr>
            <w:bookmarkStart w:id="0" w:name="_Hlk104972121"/>
            <w:r>
              <w:rPr>
                <w:rFonts w:hint="eastAsia" w:ascii="仿宋_GB2312" w:hAnsi="微软雅黑 Light" w:eastAsia="仿宋_GB2312" w:cs="Times New Roman (正文 CS 字体)"/>
                <w:b/>
                <w:bCs/>
                <w:sz w:val="32"/>
                <w:szCs w:val="32"/>
              </w:rPr>
              <w:t>科技成果综合评价报告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555" w:type="dxa"/>
            <w:vAlign w:val="center"/>
          </w:tcPr>
          <w:p>
            <w:pPr>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成果名称</w:t>
            </w:r>
            <w:r>
              <w:rPr>
                <w:rFonts w:hint="eastAsia" w:ascii="仿宋_GB2312" w:hAnsi="宋体" w:eastAsia="仿宋_GB2312" w:cs="Times New Roman (正文 CS 字体)"/>
                <w:color w:val="C00000"/>
                <w:sz w:val="28"/>
                <w:szCs w:val="28"/>
              </w:rPr>
              <w:t>*</w:t>
            </w:r>
          </w:p>
        </w:tc>
        <w:tc>
          <w:tcPr>
            <w:tcW w:w="6804" w:type="dxa"/>
            <w:gridSpan w:val="4"/>
            <w:vAlign w:val="center"/>
          </w:tcPr>
          <w:p>
            <w:pPr>
              <w:rPr>
                <w:rFonts w:ascii="仿宋_GB2312" w:hAnsi="微软雅黑 Light" w:eastAsia="仿宋_GB2312" w:cs="Times New Roman (正文 CS 字体)"/>
                <w:color w:val="000000"/>
                <w:sz w:val="28"/>
                <w:szCs w:val="28"/>
              </w:rPr>
            </w:pPr>
            <w:r>
              <w:rPr>
                <w:rFonts w:hint="eastAsia" w:ascii="仿宋_GB2312" w:eastAsia="仿宋_GB2312"/>
                <w:kern w:val="0"/>
                <w:sz w:val="28"/>
                <w:szCs w:val="28"/>
                <w:lang w:val="en-US" w:eastAsia="zh-CN"/>
              </w:rPr>
              <w:t>元宇宙数字空间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555" w:type="dxa"/>
            <w:vAlign w:val="center"/>
          </w:tcPr>
          <w:p>
            <w:pPr>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所属单位</w:t>
            </w:r>
            <w:r>
              <w:rPr>
                <w:rFonts w:hint="eastAsia" w:ascii="仿宋_GB2312" w:hAnsi="宋体" w:eastAsia="仿宋_GB2312" w:cs="Times New Roman (正文 CS 字体)"/>
                <w:color w:val="C00000"/>
                <w:sz w:val="28"/>
                <w:szCs w:val="28"/>
              </w:rPr>
              <w:t>*</w:t>
            </w:r>
          </w:p>
        </w:tc>
        <w:tc>
          <w:tcPr>
            <w:tcW w:w="6804" w:type="dxa"/>
            <w:gridSpan w:val="4"/>
            <w:vAlign w:val="center"/>
          </w:tcPr>
          <w:p>
            <w:pPr>
              <w:rPr>
                <w:rFonts w:hint="default" w:ascii="仿宋_GB2312" w:hAnsi="微软雅黑 Light" w:eastAsia="仿宋_GB2312" w:cs="Times New Roman (正文 CS 字体)"/>
                <w:sz w:val="28"/>
                <w:szCs w:val="28"/>
                <w:lang w:val="en-US" w:eastAsia="zh-CN"/>
              </w:rPr>
            </w:pPr>
            <w:r>
              <w:rPr>
                <w:rFonts w:hint="eastAsia" w:ascii="仿宋_GB2312" w:hAnsi="微软雅黑 Light" w:eastAsia="仿宋_GB2312" w:cs="Times New Roman (正文 CS 字体)"/>
                <w:sz w:val="28"/>
                <w:szCs w:val="28"/>
                <w:lang w:val="en-US" w:eastAsia="zh-CN"/>
              </w:rPr>
              <w:t>北京影谱科技股份有限公司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555" w:type="dxa"/>
            <w:vAlign w:val="center"/>
          </w:tcPr>
          <w:p>
            <w:pPr>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成果简介</w:t>
            </w:r>
            <w:r>
              <w:rPr>
                <w:rFonts w:hint="eastAsia" w:ascii="仿宋_GB2312" w:hAnsi="宋体" w:eastAsia="仿宋_GB2312" w:cs="Times New Roman (正文 CS 字体)"/>
                <w:color w:val="C00000"/>
                <w:sz w:val="28"/>
                <w:szCs w:val="28"/>
              </w:rPr>
              <w:t>*</w:t>
            </w:r>
          </w:p>
        </w:tc>
        <w:tc>
          <w:tcPr>
            <w:tcW w:w="6804" w:type="dxa"/>
            <w:gridSpan w:val="4"/>
            <w:vAlign w:val="center"/>
          </w:tcPr>
          <w:p>
            <w:pPr>
              <w:ind w:firstLine="560" w:firstLineChars="200"/>
              <w:rPr>
                <w:rFonts w:ascii="仿宋_GB2312" w:hAnsi="仿宋_GB2312" w:eastAsia="仿宋_GB2312" w:cs="Times New Roman (正文 CS 字体)"/>
                <w:sz w:val="28"/>
                <w:szCs w:val="28"/>
              </w:rPr>
            </w:pPr>
            <w:bookmarkStart w:id="1" w:name="_GoBack"/>
            <w:bookmarkEnd w:id="1"/>
            <w:r>
              <w:rPr>
                <w:rFonts w:hint="eastAsia" w:ascii="仿宋_GB2312" w:hAnsi="仿宋_GB2312" w:eastAsia="仿宋_GB2312" w:cs="Times New Roman (正文 CS 字体)"/>
                <w:sz w:val="28"/>
                <w:szCs w:val="28"/>
              </w:rPr>
              <w:t>影谱科技自主研发的ADT Meta版引擎支持AI驱动的数字孪生视觉生成，构建物理世界与元宇宙世界虚实转换的桥梁并实现可视化交互，在构建元宇宙数字空间方面，针对当前线上展示呈现效果单调、信息维度单一、缺乏沟通交流体验、无法系统管理数字资产等诸多问题，以数实融合为理念进行重构，通过智能视觉技术实现视觉升维，诠释重要信息，打造数字化沟通空间，帮助展览、会议主办和承办机构稳步推进数字化管理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555" w:type="dxa"/>
            <w:vAlign w:val="center"/>
          </w:tcPr>
          <w:p>
            <w:pPr>
              <w:spacing w:line="276" w:lineRule="auto"/>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创新水平</w:t>
            </w:r>
            <w:r>
              <w:rPr>
                <w:rFonts w:hint="eastAsia" w:ascii="仿宋_GB2312" w:hAnsi="宋体" w:eastAsia="仿宋_GB2312" w:cs="Times New Roman (正文 CS 字体)"/>
                <w:color w:val="C00000"/>
                <w:sz w:val="28"/>
                <w:szCs w:val="28"/>
              </w:rPr>
              <w:t>*</w:t>
            </w:r>
          </w:p>
        </w:tc>
        <w:tc>
          <w:tcPr>
            <w:tcW w:w="6804" w:type="dxa"/>
            <w:gridSpan w:val="4"/>
            <w:vAlign w:val="center"/>
          </w:tcPr>
          <w:p>
            <w:pPr>
              <w:spacing w:line="276" w:lineRule="auto"/>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highlight w:val="red"/>
              </w:rPr>
              <w:t>关键共性技术</w:t>
            </w:r>
            <w:r>
              <w:rPr>
                <w:rFonts w:hint="eastAsia" w:ascii="仿宋_GB2312" w:hAnsi="微软雅黑 Light" w:eastAsia="仿宋_GB2312" w:cs="Times New Roman (正文 CS 字体)"/>
                <w:sz w:val="28"/>
                <w:szCs w:val="28"/>
                <w:highlight w:val="red"/>
              </w:rPr>
              <w:t>○</w:t>
            </w:r>
            <w:r>
              <w:rPr>
                <w:rFonts w:hint="eastAsia" w:ascii="仿宋_GB2312" w:hAnsi="微软雅黑 Light" w:eastAsia="仿宋_GB2312" w:cs="Times New Roman (正文 CS 字体)"/>
                <w:sz w:val="28"/>
                <w:szCs w:val="28"/>
              </w:rPr>
              <w:t xml:space="preserve">  前沿引领技术○  现代工程技术○  颠覆性技术○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restart"/>
            <w:vAlign w:val="center"/>
          </w:tcPr>
          <w:p>
            <w:pPr>
              <w:spacing w:line="276" w:lineRule="auto"/>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技术进度</w:t>
            </w:r>
            <w:r>
              <w:rPr>
                <w:rFonts w:hint="eastAsia" w:ascii="仿宋_GB2312" w:hAnsi="宋体" w:eastAsia="仿宋_GB2312" w:cs="Times New Roman (正文 CS 字体)"/>
                <w:color w:val="C00000"/>
                <w:sz w:val="28"/>
                <w:szCs w:val="28"/>
              </w:rPr>
              <w:t>*</w:t>
            </w:r>
          </w:p>
        </w:tc>
        <w:tc>
          <w:tcPr>
            <w:tcW w:w="1984" w:type="dxa"/>
            <w:vAlign w:val="center"/>
          </w:tcPr>
          <w:p>
            <w:pPr>
              <w:spacing w:line="276" w:lineRule="auto"/>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新设备或新装置</w:t>
            </w:r>
          </w:p>
        </w:tc>
        <w:tc>
          <w:tcPr>
            <w:tcW w:w="4820" w:type="dxa"/>
            <w:gridSpan w:val="3"/>
            <w:vAlign w:val="center"/>
          </w:tcPr>
          <w:p>
            <w:pPr>
              <w:spacing w:line="276" w:lineRule="auto"/>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原理样机○   工程样机○   中试原型机○   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Merge w:val="continue"/>
            <w:vAlign w:val="center"/>
          </w:tcPr>
          <w:p>
            <w:pPr>
              <w:spacing w:line="276" w:lineRule="auto"/>
              <w:jc w:val="center"/>
              <w:rPr>
                <w:rFonts w:ascii="仿宋_GB2312" w:hAnsi="微软雅黑 Light" w:eastAsia="仿宋_GB2312" w:cs="Times New Roman (正文 CS 字体)"/>
                <w:sz w:val="28"/>
                <w:szCs w:val="28"/>
              </w:rPr>
            </w:pPr>
          </w:p>
        </w:tc>
        <w:tc>
          <w:tcPr>
            <w:tcW w:w="1984" w:type="dxa"/>
            <w:vAlign w:val="center"/>
          </w:tcPr>
          <w:p>
            <w:pPr>
              <w:spacing w:line="276" w:lineRule="auto"/>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新材料或新技术</w:t>
            </w:r>
          </w:p>
        </w:tc>
        <w:tc>
          <w:tcPr>
            <w:tcW w:w="4820" w:type="dxa"/>
            <w:gridSpan w:val="3"/>
            <w:vAlign w:val="center"/>
          </w:tcPr>
          <w:p>
            <w:pPr>
              <w:spacing w:line="276" w:lineRule="auto"/>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 xml:space="preserve">实验室阶段○ 工程化阶段○       </w:t>
            </w:r>
            <w:r>
              <w:rPr>
                <w:rFonts w:hint="eastAsia" w:ascii="仿宋_GB2312" w:hAnsi="微软雅黑 Light" w:eastAsia="仿宋_GB2312" w:cs="Times New Roman (正文 CS 字体)"/>
                <w:color w:val="auto"/>
                <w:sz w:val="28"/>
                <w:szCs w:val="28"/>
                <w:highlight w:val="red"/>
              </w:rPr>
              <w:t>产业化阶段○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55" w:type="dxa"/>
            <w:vMerge w:val="restart"/>
            <w:vAlign w:val="center"/>
          </w:tcPr>
          <w:p>
            <w:pPr>
              <w:spacing w:line="276" w:lineRule="auto"/>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技术成果</w:t>
            </w:r>
          </w:p>
        </w:tc>
        <w:tc>
          <w:tcPr>
            <w:tcW w:w="2976" w:type="dxa"/>
            <w:gridSpan w:val="2"/>
            <w:vAlign w:val="center"/>
          </w:tcPr>
          <w:p>
            <w:pPr>
              <w:spacing w:line="276" w:lineRule="auto"/>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国际专利□ 国家专利□（多选）</w:t>
            </w:r>
          </w:p>
        </w:tc>
        <w:tc>
          <w:tcPr>
            <w:tcW w:w="1134" w:type="dxa"/>
            <w:vAlign w:val="center"/>
          </w:tcPr>
          <w:p>
            <w:pPr>
              <w:spacing w:line="276" w:lineRule="auto"/>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专利号</w:t>
            </w:r>
          </w:p>
        </w:tc>
        <w:tc>
          <w:tcPr>
            <w:tcW w:w="2694" w:type="dxa"/>
            <w:vAlign w:val="center"/>
          </w:tcPr>
          <w:p>
            <w:pPr>
              <w:spacing w:line="276" w:lineRule="auto"/>
              <w:jc w:val="center"/>
              <w:rPr>
                <w:rFonts w:ascii="仿宋_GB2312" w:hAnsi="微软雅黑 Light" w:eastAsia="仿宋_GB2312" w:cs="Times New Roman (正文 CS 字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555" w:type="dxa"/>
            <w:vMerge w:val="continue"/>
            <w:vAlign w:val="center"/>
          </w:tcPr>
          <w:p>
            <w:pPr>
              <w:spacing w:line="276" w:lineRule="auto"/>
              <w:jc w:val="center"/>
              <w:rPr>
                <w:rFonts w:ascii="仿宋_GB2312" w:hAnsi="微软雅黑 Light" w:eastAsia="仿宋_GB2312" w:cs="Times New Roman (正文 CS 字体)"/>
                <w:sz w:val="28"/>
                <w:szCs w:val="28"/>
              </w:rPr>
            </w:pPr>
          </w:p>
        </w:tc>
        <w:tc>
          <w:tcPr>
            <w:tcW w:w="2976" w:type="dxa"/>
            <w:gridSpan w:val="2"/>
            <w:vAlign w:val="center"/>
          </w:tcPr>
          <w:p>
            <w:pPr>
              <w:spacing w:line="276" w:lineRule="auto"/>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国际奖项□ 国家奖项□（多选）</w:t>
            </w:r>
          </w:p>
        </w:tc>
        <w:tc>
          <w:tcPr>
            <w:tcW w:w="1134" w:type="dxa"/>
            <w:vAlign w:val="center"/>
          </w:tcPr>
          <w:p>
            <w:pPr>
              <w:spacing w:line="276" w:lineRule="auto"/>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奖项名称</w:t>
            </w:r>
          </w:p>
        </w:tc>
        <w:tc>
          <w:tcPr>
            <w:tcW w:w="2694" w:type="dxa"/>
            <w:vAlign w:val="center"/>
          </w:tcPr>
          <w:p>
            <w:pPr>
              <w:spacing w:line="276" w:lineRule="auto"/>
              <w:jc w:val="center"/>
              <w:rPr>
                <w:rFonts w:ascii="仿宋_GB2312" w:hAnsi="微软雅黑 Light" w:eastAsia="仿宋_GB2312" w:cs="Times New Roman (正文 CS 字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line="276" w:lineRule="auto"/>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产品方向</w:t>
            </w:r>
            <w:r>
              <w:rPr>
                <w:rFonts w:hint="eastAsia" w:ascii="仿宋_GB2312" w:hAnsi="宋体" w:eastAsia="仿宋_GB2312" w:cs="Times New Roman (正文 CS 字体)"/>
                <w:color w:val="C00000"/>
                <w:sz w:val="28"/>
                <w:szCs w:val="28"/>
              </w:rPr>
              <w:t>*</w:t>
            </w:r>
          </w:p>
        </w:tc>
        <w:tc>
          <w:tcPr>
            <w:tcW w:w="6804" w:type="dxa"/>
            <w:gridSpan w:val="4"/>
            <w:vAlign w:val="center"/>
          </w:tcPr>
          <w:p>
            <w:pPr>
              <w:spacing w:line="276" w:lineRule="auto"/>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 xml:space="preserve">有多个应用方向○ </w:t>
            </w:r>
            <w:r>
              <w:rPr>
                <w:rFonts w:hint="eastAsia" w:ascii="仿宋_GB2312" w:hAnsi="微软雅黑 Light" w:eastAsia="仿宋_GB2312" w:cs="Times New Roman (正文 CS 字体)"/>
                <w:sz w:val="28"/>
                <w:szCs w:val="28"/>
                <w:highlight w:val="red"/>
              </w:rPr>
              <w:t>有一个应用方向○</w:t>
            </w:r>
            <w:r>
              <w:rPr>
                <w:rFonts w:hint="eastAsia" w:ascii="仿宋_GB2312" w:hAnsi="微软雅黑 Light" w:eastAsia="仿宋_GB2312" w:cs="Times New Roman (正文 CS 字体)"/>
                <w:sz w:val="28"/>
                <w:szCs w:val="28"/>
              </w:rPr>
              <w:t xml:space="preserve"> 没有应用方向○ 无法判断○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line="276" w:lineRule="auto"/>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市场空间</w:t>
            </w:r>
            <w:r>
              <w:rPr>
                <w:rFonts w:hint="eastAsia" w:ascii="仿宋_GB2312" w:hAnsi="宋体" w:eastAsia="仿宋_GB2312" w:cs="Times New Roman (正文 CS 字体)"/>
                <w:color w:val="C00000"/>
                <w:sz w:val="28"/>
                <w:szCs w:val="28"/>
              </w:rPr>
              <w:t>*</w:t>
            </w:r>
          </w:p>
        </w:tc>
        <w:tc>
          <w:tcPr>
            <w:tcW w:w="6804" w:type="dxa"/>
            <w:gridSpan w:val="4"/>
            <w:vAlign w:val="center"/>
          </w:tcPr>
          <w:p>
            <w:pPr>
              <w:spacing w:line="276" w:lineRule="auto"/>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 xml:space="preserve">需求前景巨大○ </w:t>
            </w:r>
            <w:r>
              <w:rPr>
                <w:rFonts w:hint="eastAsia" w:ascii="仿宋_GB2312" w:hAnsi="微软雅黑 Light" w:eastAsia="仿宋_GB2312" w:cs="Times New Roman (正文 CS 字体)"/>
                <w:sz w:val="28"/>
                <w:szCs w:val="28"/>
                <w:highlight w:val="red"/>
              </w:rPr>
              <w:t>需求前景较大○</w:t>
            </w:r>
            <w:r>
              <w:rPr>
                <w:rFonts w:hint="eastAsia" w:ascii="仿宋_GB2312" w:hAnsi="微软雅黑 Light" w:eastAsia="仿宋_GB2312" w:cs="Times New Roman (正文 CS 字体)"/>
                <w:sz w:val="28"/>
                <w:szCs w:val="28"/>
              </w:rPr>
              <w:t xml:space="preserve"> 需求前景一般○ 无法判断○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line="276" w:lineRule="auto"/>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成本竞争</w:t>
            </w:r>
            <w:r>
              <w:rPr>
                <w:rFonts w:hint="eastAsia" w:ascii="仿宋_GB2312" w:hAnsi="宋体" w:eastAsia="仿宋_GB2312" w:cs="Times New Roman (正文 CS 字体)"/>
                <w:color w:val="C00000"/>
                <w:sz w:val="28"/>
                <w:szCs w:val="28"/>
              </w:rPr>
              <w:t>*</w:t>
            </w:r>
          </w:p>
        </w:tc>
        <w:tc>
          <w:tcPr>
            <w:tcW w:w="6804" w:type="dxa"/>
            <w:gridSpan w:val="4"/>
            <w:vAlign w:val="center"/>
          </w:tcPr>
          <w:p>
            <w:pPr>
              <w:spacing w:line="276" w:lineRule="auto"/>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highlight w:val="red"/>
              </w:rPr>
              <w:t>优势明显○</w:t>
            </w:r>
            <w:r>
              <w:rPr>
                <w:rFonts w:hint="eastAsia" w:ascii="仿宋_GB2312" w:hAnsi="微软雅黑 Light" w:eastAsia="仿宋_GB2312" w:cs="Times New Roman (正文 CS 字体)"/>
                <w:sz w:val="28"/>
                <w:szCs w:val="28"/>
              </w:rPr>
              <w:t xml:space="preserve"> 优势一般○ 没有优势○ 无法判断○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line="276" w:lineRule="auto"/>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政策影响</w:t>
            </w:r>
            <w:r>
              <w:rPr>
                <w:rFonts w:hint="eastAsia" w:ascii="仿宋_GB2312" w:hAnsi="宋体" w:eastAsia="仿宋_GB2312" w:cs="Times New Roman (正文 CS 字体)"/>
                <w:color w:val="C00000"/>
                <w:sz w:val="28"/>
                <w:szCs w:val="28"/>
              </w:rPr>
              <w:t>*</w:t>
            </w:r>
          </w:p>
        </w:tc>
        <w:tc>
          <w:tcPr>
            <w:tcW w:w="6804" w:type="dxa"/>
            <w:gridSpan w:val="4"/>
            <w:vAlign w:val="center"/>
          </w:tcPr>
          <w:p>
            <w:pPr>
              <w:spacing w:line="276" w:lineRule="auto"/>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highlight w:val="red"/>
              </w:rPr>
              <w:t>政策鼓励○</w:t>
            </w:r>
            <w:r>
              <w:rPr>
                <w:rFonts w:hint="eastAsia" w:ascii="仿宋_GB2312" w:hAnsi="微软雅黑 Light" w:eastAsia="仿宋_GB2312" w:cs="Times New Roman (正文 CS 字体)"/>
                <w:sz w:val="28"/>
                <w:szCs w:val="28"/>
              </w:rPr>
              <w:t xml:space="preserve"> 政策限制○ 政策淘汰○ 无法判断○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line="276" w:lineRule="auto"/>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市场周期</w:t>
            </w:r>
            <w:r>
              <w:rPr>
                <w:rFonts w:hint="eastAsia" w:ascii="仿宋_GB2312" w:hAnsi="宋体" w:eastAsia="仿宋_GB2312" w:cs="Times New Roman (正文 CS 字体)"/>
                <w:color w:val="C00000"/>
                <w:sz w:val="28"/>
                <w:szCs w:val="28"/>
              </w:rPr>
              <w:t>*</w:t>
            </w:r>
          </w:p>
        </w:tc>
        <w:tc>
          <w:tcPr>
            <w:tcW w:w="6804" w:type="dxa"/>
            <w:gridSpan w:val="4"/>
            <w:vAlign w:val="center"/>
          </w:tcPr>
          <w:p>
            <w:pPr>
              <w:spacing w:line="276" w:lineRule="auto"/>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 xml:space="preserve">进入期○ </w:t>
            </w:r>
            <w:r>
              <w:rPr>
                <w:rFonts w:hint="eastAsia" w:ascii="仿宋_GB2312" w:hAnsi="微软雅黑 Light" w:eastAsia="仿宋_GB2312" w:cs="Times New Roman (正文 CS 字体)"/>
                <w:sz w:val="28"/>
                <w:szCs w:val="28"/>
                <w:highlight w:val="red"/>
              </w:rPr>
              <w:t>成长期○</w:t>
            </w:r>
            <w:r>
              <w:rPr>
                <w:rFonts w:hint="eastAsia" w:ascii="仿宋_GB2312" w:hAnsi="微软雅黑 Light" w:eastAsia="仿宋_GB2312" w:cs="Times New Roman (正文 CS 字体)"/>
                <w:sz w:val="28"/>
                <w:szCs w:val="28"/>
              </w:rPr>
              <w:t xml:space="preserve"> 饱和期○ 衰退期○ 无法判断○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line="276" w:lineRule="auto"/>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转化周期</w:t>
            </w:r>
            <w:r>
              <w:rPr>
                <w:rFonts w:hint="eastAsia" w:ascii="仿宋_GB2312" w:hAnsi="宋体" w:eastAsia="仿宋_GB2312" w:cs="Times New Roman (正文 CS 字体)"/>
                <w:color w:val="C00000"/>
                <w:sz w:val="28"/>
                <w:szCs w:val="28"/>
              </w:rPr>
              <w:t>*</w:t>
            </w:r>
          </w:p>
        </w:tc>
        <w:tc>
          <w:tcPr>
            <w:tcW w:w="6804" w:type="dxa"/>
            <w:gridSpan w:val="4"/>
            <w:vAlign w:val="center"/>
          </w:tcPr>
          <w:p>
            <w:pPr>
              <w:spacing w:line="276" w:lineRule="auto"/>
              <w:jc w:val="center"/>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highlight w:val="red"/>
              </w:rPr>
              <w:t>近期可控(1年内)○</w:t>
            </w:r>
            <w:r>
              <w:rPr>
                <w:rFonts w:hint="eastAsia" w:ascii="仿宋_GB2312" w:hAnsi="微软雅黑 Light" w:eastAsia="仿宋_GB2312" w:cs="Times New Roman (正文 CS 字体)"/>
                <w:sz w:val="28"/>
                <w:szCs w:val="28"/>
              </w:rPr>
              <w:t xml:space="preserve">  周期较长(2年内)○  很难转化(3年起)○   无法判断○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5"/>
            <w:vAlign w:val="center"/>
          </w:tcPr>
          <w:p>
            <w:pPr>
              <w:jc w:val="left"/>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科技成果的创新基因评价（不少于150字）</w:t>
            </w:r>
            <w:r>
              <w:rPr>
                <w:rFonts w:hint="eastAsia" w:ascii="仿宋_GB2312" w:hAnsi="宋体" w:eastAsia="仿宋_GB2312" w:cs="Times New Roman (正文 CS 字体)"/>
                <w:color w:val="C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359" w:type="dxa"/>
            <w:gridSpan w:val="5"/>
          </w:tcPr>
          <w:p>
            <w:pPr>
              <w:ind w:firstLine="560" w:firstLineChars="200"/>
              <w:rPr>
                <w:rFonts w:hint="eastAsia" w:ascii="仿宋_GB2312" w:hAnsi="仿宋_GB2312" w:eastAsia="仿宋_GB2312" w:cs="Times New Roman (正文 CS 字体)"/>
                <w:color w:val="7F7F7F"/>
                <w:sz w:val="28"/>
                <w:szCs w:val="28"/>
              </w:rPr>
            </w:pPr>
            <w:r>
              <w:rPr>
                <w:rFonts w:hint="eastAsia" w:ascii="仿宋_GB2312" w:hAnsi="仿宋_GB2312" w:eastAsia="仿宋_GB2312" w:cs="Times New Roman (正文 CS 字体)"/>
                <w:color w:val="7F7F7F"/>
                <w:sz w:val="28"/>
                <w:szCs w:val="28"/>
              </w:rPr>
              <w:t>技术团队研发实力雄厚，创新能力优秀</w:t>
            </w:r>
          </w:p>
          <w:p>
            <w:pPr>
              <w:ind w:firstLine="560" w:firstLineChars="200"/>
              <w:rPr>
                <w:rFonts w:hint="eastAsia" w:ascii="仿宋_GB2312" w:hAnsi="仿宋_GB2312" w:eastAsia="仿宋_GB2312" w:cs="Times New Roman (正文 CS 字体)"/>
                <w:color w:val="7F7F7F"/>
                <w:sz w:val="28"/>
                <w:szCs w:val="28"/>
              </w:rPr>
            </w:pPr>
            <w:r>
              <w:rPr>
                <w:rFonts w:hint="eastAsia" w:ascii="仿宋_GB2312" w:hAnsi="仿宋_GB2312" w:eastAsia="仿宋_GB2312" w:cs="Times New Roman (正文 CS 字体)"/>
                <w:color w:val="7F7F7F"/>
                <w:sz w:val="28"/>
                <w:szCs w:val="28"/>
              </w:rPr>
              <w:t>该科技成果的团队负责人带领团队布局实施“应用—技术—专利—标准”梯次攀登战略，运用“技术+场景”双轮驱动战略，提升AI应用水平，实现AI技术向生产力的有效转化。该团队带动产业从机器影像跨越至智能影像时代，成为国内“利润过亿”的人工智能企业，重新定义影像生产的技术过程和生产能力，在坚持走自主创新之路的同时发挥技术优势，着力解决数字孪生领域多个核心问题，将技术优势转变为国家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5"/>
            <w:vAlign w:val="center"/>
          </w:tcPr>
          <w:p>
            <w:pPr>
              <w:jc w:val="left"/>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科技成果的技术亮点评价（不少于150字）</w:t>
            </w:r>
            <w:r>
              <w:rPr>
                <w:rFonts w:hint="eastAsia" w:ascii="仿宋_GB2312" w:hAnsi="宋体" w:eastAsia="仿宋_GB2312" w:cs="Times New Roman (正文 CS 字体)"/>
                <w:color w:val="C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8359" w:type="dxa"/>
            <w:gridSpan w:val="5"/>
          </w:tcPr>
          <w:p>
            <w:pPr>
              <w:ind w:firstLine="560" w:firstLineChars="200"/>
              <w:rPr>
                <w:rFonts w:hint="eastAsia" w:ascii="仿宋_GB2312" w:hAnsi="仿宋_GB2312" w:eastAsia="仿宋_GB2312" w:cs="Times New Roman (正文 CS 字体)"/>
                <w:color w:val="7F7F7F"/>
                <w:sz w:val="28"/>
                <w:szCs w:val="28"/>
              </w:rPr>
            </w:pPr>
            <w:r>
              <w:rPr>
                <w:rFonts w:hint="eastAsia" w:ascii="仿宋_GB2312" w:hAnsi="仿宋_GB2312" w:eastAsia="仿宋_GB2312" w:cs="Times New Roman (正文 CS 字体)"/>
                <w:color w:val="7F7F7F"/>
                <w:sz w:val="28"/>
                <w:szCs w:val="28"/>
              </w:rPr>
              <w:t>打磨高性能产品，助力企业降本增效</w:t>
            </w:r>
          </w:p>
          <w:p>
            <w:pPr>
              <w:ind w:firstLine="560" w:firstLineChars="200"/>
              <w:rPr>
                <w:rFonts w:hint="eastAsia" w:ascii="仿宋_GB2312" w:hAnsi="仿宋_GB2312" w:eastAsia="仿宋_GB2312" w:cs="Times New Roman (正文 CS 字体)"/>
                <w:color w:val="7F7F7F"/>
                <w:sz w:val="28"/>
                <w:szCs w:val="28"/>
              </w:rPr>
            </w:pPr>
            <w:r>
              <w:rPr>
                <w:rFonts w:hint="eastAsia" w:ascii="仿宋_GB2312" w:hAnsi="仿宋_GB2312" w:eastAsia="仿宋_GB2312" w:cs="Times New Roman (正文 CS 字体)"/>
                <w:color w:val="7F7F7F"/>
                <w:sz w:val="28"/>
                <w:szCs w:val="28"/>
              </w:rPr>
              <w:t>影谱科技团队团队凭借在计算机视觉、人工智能、数字孪生等领域的技术优势，搭建了“一个AI大脑+三大AI引擎”构成的影像生产基础设施，并将AI影像工业化、商业化和孪生化划定为技术产品主线。通过组建影像工业化引擎（AGC），实现了自动化、批量化的影像生产与可视化增强，缓解了文化和媒体等行业内容生产的效率和成本问题，近五年来，影谱团队基于生成式AI技术与视觉技术的“互融式创新”，推进技术高速迭代，实现了整个行业万倍以上生产效率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8359" w:type="dxa"/>
            <w:gridSpan w:val="5"/>
            <w:vAlign w:val="center"/>
          </w:tcPr>
          <w:p>
            <w:pPr>
              <w:jc w:val="left"/>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科技成果的应用市场评价（不少于150字）</w:t>
            </w:r>
            <w:r>
              <w:rPr>
                <w:rFonts w:hint="eastAsia" w:ascii="仿宋_GB2312" w:hAnsi="宋体" w:eastAsia="仿宋_GB2312" w:cs="Times New Roman (正文 CS 字体)"/>
                <w:color w:val="C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359" w:type="dxa"/>
            <w:gridSpan w:val="5"/>
          </w:tcPr>
          <w:p>
            <w:pPr>
              <w:ind w:firstLine="560" w:firstLineChars="200"/>
              <w:rPr>
                <w:rFonts w:hint="eastAsia" w:ascii="仿宋_GB2312" w:hAnsi="仿宋_GB2312" w:eastAsia="仿宋_GB2312" w:cs="Times New Roman (正文 CS 字体)"/>
                <w:color w:val="7F7F7F"/>
                <w:sz w:val="28"/>
                <w:szCs w:val="28"/>
              </w:rPr>
            </w:pPr>
            <w:r>
              <w:rPr>
                <w:rFonts w:hint="eastAsia" w:ascii="仿宋_GB2312" w:hAnsi="仿宋_GB2312" w:eastAsia="仿宋_GB2312" w:cs="Times New Roman (正文 CS 字体)"/>
                <w:color w:val="7F7F7F"/>
                <w:sz w:val="28"/>
                <w:szCs w:val="28"/>
              </w:rPr>
              <w:t>坚持互融式创新，升级AI生产力</w:t>
            </w:r>
          </w:p>
          <w:p>
            <w:pPr>
              <w:ind w:firstLine="560" w:firstLineChars="200"/>
              <w:rPr>
                <w:rFonts w:hint="eastAsia" w:ascii="仿宋_GB2312" w:hAnsi="仿宋_GB2312" w:eastAsia="仿宋_GB2312" w:cs="Times New Roman (正文 CS 字体)"/>
                <w:color w:val="7F7F7F"/>
                <w:sz w:val="28"/>
                <w:szCs w:val="28"/>
              </w:rPr>
            </w:pPr>
            <w:r>
              <w:rPr>
                <w:rFonts w:hint="eastAsia" w:ascii="仿宋_GB2312" w:hAnsi="仿宋_GB2312" w:eastAsia="仿宋_GB2312" w:cs="Times New Roman (正文 CS 字体)"/>
                <w:color w:val="7F7F7F"/>
                <w:sz w:val="28"/>
                <w:szCs w:val="28"/>
              </w:rPr>
              <w:t>一方面，影谱通过打磨高性能的技术产品，为所在企业争取了大量的客户。客户个性化需求的满足催生了新技术和新产品研发的方向，推动了公司技术阵型的不断完备，沉淀了海量的影像内容数据、用户行为数据和影像生产数据，推动了自有影像数据库“滚雪球”式的扩容。这为反向深度学习，优化算法提供了优质的“数据喂养”。另一方面，持续迭代的技术产品带来了更强的客户黏性和合作空间，推动了市场的持续扩容：2018年，影像工业化引擎（AGC）创造了百亿级增量市场，市场占有率超70%；2021年，影谱团队打造的“数字商业视觉基地”落成并投入使用，将业务贯穿AI数字商业内容和AI数字服务的全生命周期，使人工智能技术规模化、产品化、落地化，实现生成式AI、AI+DT、AI+大数据等先进人工智能技术在AI数字商业生态的领衔应用，跻身AI数字商业内容领域第一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359" w:type="dxa"/>
            <w:gridSpan w:val="5"/>
            <w:vAlign w:val="center"/>
          </w:tcPr>
          <w:p>
            <w:pPr>
              <w:jc w:val="left"/>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评价专家组综合意见</w:t>
            </w:r>
            <w:r>
              <w:rPr>
                <w:rFonts w:hint="eastAsia" w:ascii="仿宋_GB2312" w:hAnsi="宋体" w:eastAsia="仿宋_GB2312" w:cs="Times New Roman (正文 CS 字体)"/>
                <w:color w:val="C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359" w:type="dxa"/>
            <w:gridSpan w:val="5"/>
          </w:tcPr>
          <w:p>
            <w:pPr>
              <w:tabs>
                <w:tab w:val="left" w:pos="6556"/>
              </w:tabs>
              <w:ind w:firstLine="560" w:firstLineChars="200"/>
              <w:rPr>
                <w:rFonts w:hint="eastAsia" w:ascii="仿宋_GB2312" w:hAnsi="仿宋_GB2312" w:eastAsia="仿宋_GB2312" w:cs="Times New Roman (正文 CS 字体)"/>
                <w:color w:val="7F7F7F"/>
                <w:sz w:val="28"/>
                <w:szCs w:val="28"/>
              </w:rPr>
            </w:pPr>
            <w:r>
              <w:rPr>
                <w:rFonts w:hint="eastAsia" w:ascii="仿宋_GB2312" w:hAnsi="仿宋_GB2312" w:eastAsia="仿宋_GB2312" w:cs="Times New Roman (正文 CS 字体)"/>
                <w:color w:val="7F7F7F"/>
                <w:sz w:val="28"/>
                <w:szCs w:val="28"/>
              </w:rPr>
              <w:t>主要从科技成果创新水平，市场前景，产业化路径、投资风险与回报等角度对成果转化提出综合性评价意见和建议。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555" w:type="dxa"/>
            <w:vAlign w:val="center"/>
          </w:tcPr>
          <w:p>
            <w:pPr>
              <w:tabs>
                <w:tab w:val="left" w:pos="6556"/>
              </w:tabs>
              <w:rPr>
                <w:rFonts w:ascii="仿宋_GB2312" w:hAnsi="仿宋_GB2312" w:eastAsia="仿宋_GB2312" w:cs="Times New Roman (正文 CS 字体)"/>
                <w:color w:val="7F7F7F"/>
                <w:sz w:val="28"/>
                <w:szCs w:val="28"/>
              </w:rPr>
            </w:pPr>
            <w:r>
              <w:rPr>
                <w:rFonts w:hint="eastAsia" w:ascii="仿宋_GB2312" w:hAnsi="微软雅黑 Light" w:eastAsia="仿宋_GB2312" w:cs="Times New Roman (正文 CS 字体)"/>
                <w:sz w:val="28"/>
                <w:szCs w:val="28"/>
              </w:rPr>
              <w:t>评价专家姓名</w:t>
            </w:r>
            <w:r>
              <w:rPr>
                <w:rFonts w:hint="eastAsia" w:ascii="仿宋_GB2312" w:hAnsi="宋体" w:eastAsia="仿宋_GB2312" w:cs="Times New Roman (正文 CS 字体)"/>
                <w:color w:val="C00000"/>
                <w:sz w:val="28"/>
                <w:szCs w:val="28"/>
              </w:rPr>
              <w:t>*</w:t>
            </w:r>
          </w:p>
        </w:tc>
        <w:tc>
          <w:tcPr>
            <w:tcW w:w="6804" w:type="dxa"/>
            <w:gridSpan w:val="4"/>
            <w:vAlign w:val="center"/>
          </w:tcPr>
          <w:p>
            <w:pPr>
              <w:tabs>
                <w:tab w:val="left" w:pos="6556"/>
              </w:tabs>
              <w:ind w:firstLine="560" w:firstLineChars="200"/>
              <w:rPr>
                <w:rFonts w:ascii="仿宋_GB2312" w:hAnsi="仿宋_GB2312" w:eastAsia="仿宋_GB2312" w:cs="Times New Roman (正文 CS 字体)"/>
                <w:color w:val="7F7F7F"/>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line="276" w:lineRule="auto"/>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评价专家职务</w:t>
            </w:r>
            <w:r>
              <w:rPr>
                <w:rFonts w:hint="eastAsia" w:ascii="仿宋_GB2312" w:hAnsi="宋体" w:eastAsia="仿宋_GB2312" w:cs="Times New Roman (正文 CS 字体)"/>
                <w:color w:val="C00000"/>
                <w:sz w:val="28"/>
                <w:szCs w:val="28"/>
              </w:rPr>
              <w:t>*</w:t>
            </w:r>
          </w:p>
        </w:tc>
        <w:tc>
          <w:tcPr>
            <w:tcW w:w="6804" w:type="dxa"/>
            <w:gridSpan w:val="4"/>
            <w:vAlign w:val="center"/>
          </w:tcPr>
          <w:p>
            <w:pPr>
              <w:spacing w:line="276" w:lineRule="auto"/>
              <w:jc w:val="center"/>
              <w:rPr>
                <w:rFonts w:ascii="仿宋_GB2312" w:hAnsi="微软雅黑 Light" w:eastAsia="仿宋_GB2312" w:cs="Times New Roman (正文 CS 字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line="276" w:lineRule="auto"/>
              <w:rPr>
                <w:rFonts w:ascii="仿宋_GB2312" w:hAnsi="微软雅黑 Light" w:eastAsia="仿宋_GB2312" w:cs="Times New Roman (正文 CS 字体)"/>
                <w:sz w:val="28"/>
                <w:szCs w:val="28"/>
              </w:rPr>
            </w:pPr>
            <w:r>
              <w:rPr>
                <w:rFonts w:hint="eastAsia" w:ascii="仿宋_GB2312" w:hAnsi="微软雅黑 Light" w:eastAsia="仿宋_GB2312" w:cs="Times New Roman (正文 CS 字体)"/>
                <w:sz w:val="28"/>
                <w:szCs w:val="28"/>
              </w:rPr>
              <w:t>评价专家所在单位</w:t>
            </w:r>
            <w:r>
              <w:rPr>
                <w:rFonts w:hint="eastAsia" w:ascii="仿宋_GB2312" w:hAnsi="宋体" w:eastAsia="仿宋_GB2312" w:cs="Times New Roman (正文 CS 字体)"/>
                <w:color w:val="C00000"/>
                <w:sz w:val="28"/>
                <w:szCs w:val="28"/>
              </w:rPr>
              <w:t>*</w:t>
            </w:r>
          </w:p>
        </w:tc>
        <w:tc>
          <w:tcPr>
            <w:tcW w:w="6804" w:type="dxa"/>
            <w:gridSpan w:val="4"/>
            <w:vAlign w:val="center"/>
          </w:tcPr>
          <w:p>
            <w:pPr>
              <w:spacing w:line="276" w:lineRule="auto"/>
              <w:jc w:val="center"/>
              <w:rPr>
                <w:rFonts w:ascii="仿宋_GB2312" w:hAnsi="微软雅黑 Light" w:eastAsia="仿宋_GB2312" w:cs="Times New Roman (正文 CS 字体)"/>
                <w:sz w:val="28"/>
                <w:szCs w:val="28"/>
              </w:rPr>
            </w:pPr>
          </w:p>
        </w:tc>
      </w:tr>
      <w:bookmarkEnd w:id="0"/>
    </w:tbl>
    <w:p>
      <w:pPr>
        <w:tabs>
          <w:tab w:val="left" w:pos="2070"/>
        </w:tabs>
        <w:rPr>
          <w:rFonts w:ascii="仿宋_GB2312" w:eastAsia="仿宋_GB2312"/>
          <w:sz w:val="28"/>
          <w:szCs w:val="28"/>
        </w:rPr>
      </w:pPr>
      <w:r>
        <w:rPr>
          <w:rFonts w:hint="eastAsia" w:ascii="仿宋_GB2312" w:hAnsi="宋体" w:eastAsia="仿宋_GB2312"/>
          <w:color w:val="C00000"/>
          <w:sz w:val="28"/>
          <w:szCs w:val="28"/>
        </w:rPr>
        <w:t>*</w:t>
      </w:r>
      <w:r>
        <w:rPr>
          <w:rFonts w:hint="eastAsia" w:ascii="仿宋_GB2312" w:hAnsi="宋体" w:eastAsia="仿宋_GB2312"/>
          <w:sz w:val="28"/>
          <w:szCs w:val="28"/>
        </w:rPr>
        <w:t>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imes New Roman (正文 CS 字体)">
    <w:altName w:val="宋体"/>
    <w:panose1 w:val="00000000000000000000"/>
    <w:charset w:val="86"/>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Light">
    <w:panose1 w:val="020B0502040204020203"/>
    <w:charset w:val="86"/>
    <w:family w:val="swiss"/>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31316F"/>
    <w:multiLevelType w:val="multilevel"/>
    <w:tmpl w:val="4131316F"/>
    <w:lvl w:ilvl="0" w:tentative="0">
      <w:start w:val="1"/>
      <w:numFmt w:val="decimal"/>
      <w:pStyle w:val="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mZmE3MjNjN2RjYzM2ZGU3Yzc2NjVjYTMzNjAxMzAifQ=="/>
  </w:docVars>
  <w:rsids>
    <w:rsidRoot w:val="00272F47"/>
    <w:rsid w:val="00000C64"/>
    <w:rsid w:val="000A6041"/>
    <w:rsid w:val="000B3148"/>
    <w:rsid w:val="00265138"/>
    <w:rsid w:val="00272F47"/>
    <w:rsid w:val="00354D34"/>
    <w:rsid w:val="00361F91"/>
    <w:rsid w:val="003D490B"/>
    <w:rsid w:val="003F1FC2"/>
    <w:rsid w:val="00475F77"/>
    <w:rsid w:val="004A0D71"/>
    <w:rsid w:val="004D5599"/>
    <w:rsid w:val="0057294E"/>
    <w:rsid w:val="006909E8"/>
    <w:rsid w:val="00691A50"/>
    <w:rsid w:val="006A5477"/>
    <w:rsid w:val="00737154"/>
    <w:rsid w:val="00792E7D"/>
    <w:rsid w:val="007D71AD"/>
    <w:rsid w:val="007D791E"/>
    <w:rsid w:val="008F53BE"/>
    <w:rsid w:val="008F7FC7"/>
    <w:rsid w:val="00990C22"/>
    <w:rsid w:val="009A7FA4"/>
    <w:rsid w:val="009D1247"/>
    <w:rsid w:val="00A51171"/>
    <w:rsid w:val="00A56886"/>
    <w:rsid w:val="00A67C64"/>
    <w:rsid w:val="00AD03CC"/>
    <w:rsid w:val="00B41B9C"/>
    <w:rsid w:val="00BB2FC7"/>
    <w:rsid w:val="00BB4035"/>
    <w:rsid w:val="00BB7F3A"/>
    <w:rsid w:val="00C7773C"/>
    <w:rsid w:val="00DE43D9"/>
    <w:rsid w:val="00EB7807"/>
    <w:rsid w:val="00F63F14"/>
    <w:rsid w:val="00F83473"/>
    <w:rsid w:val="00FE5AEA"/>
    <w:rsid w:val="07177C01"/>
    <w:rsid w:val="195E6FCA"/>
    <w:rsid w:val="22CD6F6E"/>
    <w:rsid w:val="33AD0E22"/>
    <w:rsid w:val="34580D8D"/>
    <w:rsid w:val="34C71A6F"/>
    <w:rsid w:val="3AD2116E"/>
    <w:rsid w:val="43C31F9B"/>
    <w:rsid w:val="46805F22"/>
    <w:rsid w:val="4A5B4CDC"/>
    <w:rsid w:val="4A8A55C1"/>
    <w:rsid w:val="4D4B54DB"/>
    <w:rsid w:val="565F3DA6"/>
    <w:rsid w:val="5C814A76"/>
    <w:rsid w:val="608F5287"/>
    <w:rsid w:val="6B7059D6"/>
    <w:rsid w:val="7285473C"/>
    <w:rsid w:val="74E84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semiHidden/>
    <w:unhideWhenUsed/>
    <w:qFormat/>
    <w:uiPriority w:val="9"/>
    <w:pPr>
      <w:keepNext/>
      <w:keepLines/>
      <w:spacing w:before="260" w:after="260" w:line="416" w:lineRule="auto"/>
      <w:outlineLvl w:val="2"/>
    </w:pPr>
    <w:rPr>
      <w:rFonts w:eastAsia="仿宋_GB2312"/>
      <w:bCs/>
      <w:sz w:val="32"/>
      <w:szCs w:val="32"/>
    </w:rPr>
  </w:style>
  <w:style w:type="paragraph" w:styleId="3">
    <w:name w:val="heading 4"/>
    <w:basedOn w:val="1"/>
    <w:next w:val="1"/>
    <w:link w:val="10"/>
    <w:unhideWhenUsed/>
    <w:qFormat/>
    <w:uiPriority w:val="9"/>
    <w:pPr>
      <w:keepNext/>
      <w:keepLines/>
      <w:numPr>
        <w:ilvl w:val="0"/>
        <w:numId w:val="1"/>
      </w:numPr>
      <w:spacing w:before="280" w:after="290" w:line="377" w:lineRule="auto"/>
      <w:ind w:left="200" w:leftChars="200"/>
      <w:outlineLvl w:val="3"/>
    </w:pPr>
    <w:rPr>
      <w:rFonts w:ascii="仿宋_GB2312" w:eastAsia="仿宋_GB2312" w:hAnsiTheme="majorHAnsi" w:cstheme="majorBidi"/>
      <w:sz w:val="32"/>
      <w:szCs w:val="2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uiPriority w:val="99"/>
    <w:rPr>
      <w:color w:val="0000FF"/>
      <w:u w:val="single"/>
    </w:rPr>
  </w:style>
  <w:style w:type="character" w:customStyle="1" w:styleId="10">
    <w:name w:val="标题 4 字符"/>
    <w:basedOn w:val="8"/>
    <w:link w:val="3"/>
    <w:uiPriority w:val="9"/>
    <w:rPr>
      <w:rFonts w:ascii="仿宋_GB2312" w:eastAsia="仿宋_GB2312" w:hAnsiTheme="majorHAnsi" w:cstheme="majorBidi"/>
      <w:sz w:val="32"/>
      <w:szCs w:val="28"/>
    </w:rPr>
  </w:style>
  <w:style w:type="character" w:customStyle="1" w:styleId="11">
    <w:name w:val="标题 3 字符"/>
    <w:basedOn w:val="8"/>
    <w:link w:val="2"/>
    <w:semiHidden/>
    <w:uiPriority w:val="9"/>
    <w:rPr>
      <w:rFonts w:eastAsia="仿宋_GB2312"/>
      <w:bCs/>
      <w:sz w:val="32"/>
      <w:szCs w:val="32"/>
    </w:rPr>
  </w:style>
  <w:style w:type="character" w:customStyle="1" w:styleId="12">
    <w:name w:val="页眉 字符"/>
    <w:basedOn w:val="8"/>
    <w:link w:val="5"/>
    <w:uiPriority w:val="99"/>
    <w:rPr>
      <w:sz w:val="18"/>
      <w:szCs w:val="18"/>
    </w:rPr>
  </w:style>
  <w:style w:type="character" w:customStyle="1" w:styleId="13">
    <w:name w:val="页脚 字符"/>
    <w:basedOn w:val="8"/>
    <w:link w:val="4"/>
    <w:uiPriority w:val="99"/>
    <w:rPr>
      <w:sz w:val="18"/>
      <w:szCs w:val="18"/>
    </w:rPr>
  </w:style>
  <w:style w:type="table" w:customStyle="1" w:styleId="14">
    <w:name w:val="网格型1"/>
    <w:basedOn w:val="6"/>
    <w:uiPriority w:val="39"/>
    <w:rPr>
      <w:rFonts w:eastAsia="仿宋" w:cs="Times New Roman (正文 CS 字体)"/>
      <w:sz w:val="32"/>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4412</Words>
  <Characters>4606</Characters>
  <Lines>11</Lines>
  <Paragraphs>3</Paragraphs>
  <TotalTime>11</TotalTime>
  <ScaleCrop>false</ScaleCrop>
  <LinksUpToDate>false</LinksUpToDate>
  <CharactersWithSpaces>4700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2022-07-04T02:35:00Z</dcterms:created>
  <dc:creator>李 烁</dc:creator>
  <cp:lastModifiedBy>鄒琳</cp:lastModifiedBy>
  <dcterms:modified xsi:type="dcterms:W3CDTF">2022-10-28T02:52:31Z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3588ABA1F5FD4FB4BD96D54FE8661363</vt:lpwstr>
  </property>
</Properties>
</file>