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666" w:tblpY="427"/>
        <w:tblOverlap w:val="never"/>
        <w:tblW w:w="10747" w:type="dxa"/>
        <w:tblInd w:w="0" w:type="dxa"/>
        <w:tblLayout w:type="fixed"/>
        <w:tblCellMar>
          <w:top w:w="0" w:type="dxa"/>
          <w:left w:w="108" w:type="dxa"/>
          <w:bottom w:w="0" w:type="dxa"/>
          <w:right w:w="108" w:type="dxa"/>
        </w:tblCellMar>
      </w:tblPr>
      <w:tblGrid>
        <w:gridCol w:w="2292"/>
        <w:gridCol w:w="805"/>
        <w:gridCol w:w="2072"/>
        <w:gridCol w:w="2468"/>
        <w:gridCol w:w="112"/>
        <w:gridCol w:w="1080"/>
        <w:gridCol w:w="1918"/>
      </w:tblGrid>
      <w:tr>
        <w:tblPrEx>
          <w:tblCellMar>
            <w:top w:w="0" w:type="dxa"/>
            <w:left w:w="108" w:type="dxa"/>
            <w:bottom w:w="0" w:type="dxa"/>
            <w:right w:w="108" w:type="dxa"/>
          </w:tblCellMar>
        </w:tblPrEx>
        <w:trPr>
          <w:trHeight w:val="465" w:hRule="atLeast"/>
        </w:trPr>
        <w:tc>
          <w:tcPr>
            <w:tcW w:w="10747" w:type="dxa"/>
            <w:gridSpan w:val="7"/>
            <w:tcBorders>
              <w:top w:val="nil"/>
              <w:left w:val="nil"/>
              <w:bottom w:val="nil"/>
              <w:right w:val="nil"/>
            </w:tcBorders>
            <w:shd w:val="clear" w:color="auto" w:fill="auto"/>
            <w:noWrap/>
            <w:vAlign w:val="center"/>
          </w:tcPr>
          <w:p>
            <w:pPr>
              <w:pStyle w:val="4"/>
              <w:widowControl/>
              <w:ind w:left="0" w:leftChars="0" w:firstLine="1200" w:firstLineChars="500"/>
              <w:jc w:val="left"/>
              <w:rPr>
                <w:rFonts w:hint="eastAsia" w:ascii="宋体" w:hAnsi="宋体" w:eastAsia="宋体" w:cs="宋体"/>
                <w:b/>
                <w:bCs/>
                <w:color w:val="000000"/>
                <w:sz w:val="36"/>
                <w:szCs w:val="36"/>
                <w:lang w:val="en-US" w:eastAsia="zh-CN"/>
              </w:rPr>
            </w:pPr>
            <w:r>
              <w:rPr>
                <w:rFonts w:hint="eastAsia" w:ascii="Times New Roman" w:hAnsi="宋体" w:cs="Times New Roman"/>
                <w:color w:val="000000"/>
                <w:kern w:val="0"/>
                <w:sz w:val="24"/>
              </w:rPr>
              <w:t>附件一：项目征集表</w:t>
            </w:r>
            <w:r>
              <w:rPr>
                <w:rFonts w:hint="eastAsia" w:ascii="Times New Roman" w:hAnsi="宋体" w:cs="Times New Roman"/>
                <w:color w:val="000000"/>
                <w:kern w:val="0"/>
                <w:sz w:val="24"/>
                <w:lang w:eastAsia="zh-CN"/>
              </w:rPr>
              <w:t>（模板）</w:t>
            </w:r>
          </w:p>
        </w:tc>
      </w:tr>
      <w:tr>
        <w:tblPrEx>
          <w:tblCellMar>
            <w:top w:w="0" w:type="dxa"/>
            <w:left w:w="108" w:type="dxa"/>
            <w:bottom w:w="0" w:type="dxa"/>
            <w:right w:w="108" w:type="dxa"/>
          </w:tblCellMar>
        </w:tblPrEx>
        <w:trPr>
          <w:trHeight w:val="600" w:hRule="atLeast"/>
        </w:trPr>
        <w:tc>
          <w:tcPr>
            <w:tcW w:w="229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公司名称</w:t>
            </w:r>
          </w:p>
        </w:tc>
        <w:tc>
          <w:tcPr>
            <w:tcW w:w="2877" w:type="dxa"/>
            <w:gridSpan w:val="2"/>
            <w:tcBorders>
              <w:top w:val="single" w:color="000000" w:sz="8" w:space="0"/>
              <w:left w:val="nil"/>
              <w:bottom w:val="single" w:color="000000" w:sz="8" w:space="0"/>
              <w:right w:val="single" w:color="000000" w:sz="8" w:space="0"/>
            </w:tcBorders>
            <w:shd w:val="clear" w:color="auto" w:fill="auto"/>
            <w:vAlign w:val="center"/>
          </w:tcPr>
          <w:p>
            <w:pPr>
              <w:spacing w:line="400" w:lineRule="exact"/>
              <w:jc w:val="center"/>
              <w:rPr>
                <w:rFonts w:ascii="宋体" w:hAnsi="宋体" w:eastAsia="宋体" w:cs="宋体"/>
                <w:color w:val="000000"/>
                <w:sz w:val="24"/>
                <w:szCs w:val="24"/>
              </w:rPr>
            </w:pPr>
            <w:r>
              <w:rPr>
                <w:rFonts w:hint="eastAsia" w:ascii="仿宋" w:hAnsi="仿宋" w:eastAsia="仿宋" w:cs="微软雅黑 Light"/>
                <w:bCs/>
                <w:sz w:val="24"/>
              </w:rPr>
              <w:t>联智科技（天津）有限责任公司</w:t>
            </w:r>
          </w:p>
        </w:tc>
        <w:tc>
          <w:tcPr>
            <w:tcW w:w="246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成立时间</w:t>
            </w:r>
          </w:p>
        </w:tc>
        <w:tc>
          <w:tcPr>
            <w:tcW w:w="3110" w:type="dxa"/>
            <w:gridSpan w:val="3"/>
            <w:tcBorders>
              <w:top w:val="single" w:color="000000" w:sz="8" w:space="0"/>
              <w:left w:val="nil"/>
              <w:bottom w:val="single" w:color="000000" w:sz="8" w:space="0"/>
              <w:right w:val="single" w:color="000000" w:sz="8" w:space="0"/>
            </w:tcBorders>
            <w:shd w:val="clear" w:color="auto" w:fill="auto"/>
            <w:vAlign w:val="center"/>
          </w:tcPr>
          <w:p>
            <w:pPr>
              <w:spacing w:line="400" w:lineRule="exact"/>
              <w:jc w:val="center"/>
              <w:rPr>
                <w:rFonts w:ascii="宋体" w:hAnsi="宋体" w:eastAsia="宋体" w:cs="宋体"/>
                <w:color w:val="000000"/>
                <w:sz w:val="24"/>
                <w:szCs w:val="24"/>
              </w:rPr>
            </w:pPr>
            <w:r>
              <w:rPr>
                <w:rFonts w:hint="eastAsia" w:ascii="仿宋" w:hAnsi="仿宋" w:eastAsia="仿宋" w:cs="微软雅黑 Light"/>
                <w:bCs/>
                <w:sz w:val="24"/>
              </w:rPr>
              <w:t>2018年02月09日</w:t>
            </w:r>
          </w:p>
        </w:tc>
      </w:tr>
      <w:tr>
        <w:tblPrEx>
          <w:tblCellMar>
            <w:top w:w="0" w:type="dxa"/>
            <w:left w:w="108" w:type="dxa"/>
            <w:bottom w:w="0" w:type="dxa"/>
            <w:right w:w="108" w:type="dxa"/>
          </w:tblCellMar>
        </w:tblPrEx>
        <w:trPr>
          <w:trHeight w:val="87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公司地址</w:t>
            </w:r>
          </w:p>
        </w:tc>
        <w:tc>
          <w:tcPr>
            <w:tcW w:w="2877" w:type="dxa"/>
            <w:gridSpan w:val="2"/>
            <w:tcBorders>
              <w:top w:val="nil"/>
              <w:left w:val="nil"/>
              <w:bottom w:val="single" w:color="000000" w:sz="8" w:space="0"/>
              <w:right w:val="single" w:color="000000" w:sz="8" w:space="0"/>
            </w:tcBorders>
            <w:shd w:val="clear" w:color="auto" w:fill="auto"/>
            <w:vAlign w:val="center"/>
          </w:tcPr>
          <w:p>
            <w:pPr>
              <w:spacing w:line="400" w:lineRule="exact"/>
              <w:rPr>
                <w:rFonts w:ascii="宋体" w:hAnsi="宋体" w:eastAsia="宋体" w:cs="宋体"/>
                <w:color w:val="000000"/>
                <w:sz w:val="24"/>
                <w:szCs w:val="24"/>
              </w:rPr>
            </w:pPr>
            <w:r>
              <w:rPr>
                <w:rFonts w:hint="eastAsia" w:ascii="仿宋" w:hAnsi="仿宋" w:eastAsia="仿宋" w:cs="微软雅黑 Light"/>
                <w:bCs/>
                <w:sz w:val="24"/>
              </w:rPr>
              <w:t>天津市滨海高新区塘沽海洋科技园海缘路199号海洋科技商务园东4-8号楼D401</w:t>
            </w:r>
          </w:p>
        </w:tc>
        <w:tc>
          <w:tcPr>
            <w:tcW w:w="24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注册资本</w:t>
            </w:r>
          </w:p>
        </w:tc>
        <w:tc>
          <w:tcPr>
            <w:tcW w:w="3110" w:type="dxa"/>
            <w:gridSpan w:val="3"/>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仿宋" w:cs="宋体"/>
                <w:color w:val="000000"/>
                <w:sz w:val="28"/>
                <w:szCs w:val="28"/>
                <w:lang w:val="en-US" w:eastAsia="zh-CN"/>
              </w:rPr>
            </w:pPr>
            <w:r>
              <w:rPr>
                <w:rFonts w:hint="eastAsia" w:ascii="仿宋" w:hAnsi="仿宋" w:eastAsia="仿宋" w:cs="微软雅黑 Light"/>
                <w:bCs/>
                <w:sz w:val="24"/>
              </w:rPr>
              <w:t>72.6054</w:t>
            </w:r>
            <w:r>
              <w:rPr>
                <w:rFonts w:hint="eastAsia" w:ascii="仿宋" w:hAnsi="仿宋" w:eastAsia="仿宋" w:cs="微软雅黑 Light"/>
                <w:bCs/>
                <w:sz w:val="24"/>
                <w:lang w:val="en-US" w:eastAsia="zh-CN"/>
              </w:rPr>
              <w:t>万元</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所处行业</w:t>
            </w:r>
          </w:p>
        </w:tc>
        <w:tc>
          <w:tcPr>
            <w:tcW w:w="845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新一代信息技术</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成熟度</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sym w:font="Wingdings" w:char="00FE"/>
            </w:r>
            <w:r>
              <w:rPr>
                <w:rStyle w:val="7"/>
                <w:rFonts w:hint="default"/>
                <w:lang w:bidi="ar"/>
              </w:rPr>
              <w:t xml:space="preserve">报告级 </w:t>
            </w:r>
            <w:r>
              <w:rPr>
                <w:rStyle w:val="8"/>
                <w:rFonts w:eastAsia="宋体"/>
                <w:lang w:bidi="ar"/>
              </w:rPr>
              <w:sym w:font="Wingdings" w:char="00FE"/>
            </w:r>
            <w:r>
              <w:rPr>
                <w:rStyle w:val="7"/>
                <w:rFonts w:hint="default"/>
                <w:lang w:bidi="ar"/>
              </w:rPr>
              <w:t xml:space="preserve">方案级 </w:t>
            </w:r>
            <w:r>
              <w:rPr>
                <w:rStyle w:val="8"/>
                <w:rFonts w:eastAsia="宋体"/>
                <w:lang w:bidi="ar"/>
              </w:rPr>
              <w:t>¨</w:t>
            </w:r>
            <w:r>
              <w:rPr>
                <w:rStyle w:val="7"/>
                <w:rFonts w:hint="default"/>
                <w:lang w:bidi="ar"/>
              </w:rPr>
              <w:t xml:space="preserve">功能级 </w:t>
            </w:r>
            <w:r>
              <w:rPr>
                <w:rStyle w:val="8"/>
                <w:rFonts w:eastAsia="宋体"/>
                <w:lang w:bidi="ar"/>
              </w:rPr>
              <w:t>¨</w:t>
            </w:r>
            <w:r>
              <w:rPr>
                <w:rStyle w:val="7"/>
                <w:rFonts w:hint="default"/>
                <w:lang w:bidi="ar"/>
              </w:rPr>
              <w:t>仿真级</w:t>
            </w:r>
            <w:r>
              <w:rPr>
                <w:rStyle w:val="8"/>
                <w:rFonts w:eastAsia="宋体"/>
                <w:lang w:bidi="ar"/>
              </w:rPr>
              <w:t xml:space="preserve"> ¨</w:t>
            </w:r>
            <w:r>
              <w:rPr>
                <w:rStyle w:val="7"/>
                <w:rFonts w:hint="default"/>
                <w:lang w:bidi="ar"/>
              </w:rPr>
              <w:t>初样级</w:t>
            </w:r>
            <w:r>
              <w:rPr>
                <w:rStyle w:val="8"/>
                <w:rFonts w:eastAsia="宋体"/>
                <w:lang w:bidi="ar"/>
              </w:rPr>
              <w:t xml:space="preserve"> ¨</w:t>
            </w:r>
            <w:r>
              <w:rPr>
                <w:rStyle w:val="7"/>
                <w:rFonts w:hint="default"/>
                <w:lang w:bidi="ar"/>
              </w:rPr>
              <w:t>正样级</w:t>
            </w:r>
            <w:r>
              <w:rPr>
                <w:rStyle w:val="8"/>
                <w:rFonts w:eastAsia="宋体"/>
                <w:lang w:bidi="ar"/>
              </w:rPr>
              <w:t xml:space="preserve"> ¨</w:t>
            </w:r>
            <w:r>
              <w:rPr>
                <w:rStyle w:val="7"/>
                <w:rFonts w:hint="default"/>
                <w:lang w:bidi="ar"/>
              </w:rPr>
              <w:t>环境级</w:t>
            </w:r>
            <w:r>
              <w:rPr>
                <w:rStyle w:val="8"/>
                <w:rFonts w:eastAsia="宋体"/>
                <w:lang w:bidi="ar"/>
              </w:rPr>
              <w:t xml:space="preserve"> </w:t>
            </w:r>
            <w:r>
              <w:rPr>
                <w:rStyle w:val="8"/>
                <w:rFonts w:eastAsia="宋体"/>
                <w:lang w:bidi="ar"/>
              </w:rPr>
              <w:sym w:font="Wingdings" w:char="00FE"/>
            </w:r>
            <w:r>
              <w:rPr>
                <w:rStyle w:val="7"/>
                <w:rFonts w:hint="default"/>
                <w:lang w:bidi="ar"/>
              </w:rPr>
              <w:t>产品级</w:t>
            </w:r>
            <w:r>
              <w:rPr>
                <w:rStyle w:val="8"/>
                <w:rFonts w:eastAsia="宋体"/>
                <w:lang w:bidi="ar"/>
              </w:rPr>
              <w:t xml:space="preserve"> </w:t>
            </w:r>
            <w:r>
              <w:rPr>
                <w:rStyle w:val="8"/>
                <w:rFonts w:eastAsia="宋体"/>
                <w:lang w:bidi="ar"/>
              </w:rPr>
              <w:sym w:font="Wingdings" w:char="00FE"/>
            </w:r>
            <w:r>
              <w:rPr>
                <w:rStyle w:val="7"/>
                <w:rFonts w:hint="default"/>
                <w:lang w:bidi="ar"/>
              </w:rPr>
              <w:t>系统级</w:t>
            </w:r>
            <w:r>
              <w:rPr>
                <w:rStyle w:val="8"/>
                <w:rFonts w:eastAsia="宋体"/>
                <w:lang w:bidi="ar"/>
              </w:rPr>
              <w:t xml:space="preserve"> </w:t>
            </w:r>
            <w:r>
              <w:rPr>
                <w:rStyle w:val="8"/>
                <w:rFonts w:eastAsia="宋体"/>
                <w:lang w:bidi="ar"/>
              </w:rPr>
              <w:sym w:font="Wingdings" w:char="00FE"/>
            </w:r>
            <w:r>
              <w:rPr>
                <w:rStyle w:val="7"/>
                <w:rFonts w:hint="default"/>
                <w:lang w:bidi="ar"/>
              </w:rPr>
              <w:t>销售级</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合作方式</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技术转让 </w:t>
            </w:r>
            <w:r>
              <w:rPr>
                <w:rStyle w:val="9"/>
                <w:lang w:bidi="ar"/>
              </w:rPr>
              <w:t>£</w:t>
            </w:r>
            <w:r>
              <w:rPr>
                <w:rStyle w:val="7"/>
                <w:rFonts w:hint="default"/>
                <w:lang w:bidi="ar"/>
              </w:rPr>
              <w:t>专利许可</w:t>
            </w:r>
            <w:r>
              <w:rPr>
                <w:rStyle w:val="10"/>
                <w:lang w:bidi="ar"/>
              </w:rPr>
              <w:t xml:space="preserve"> </w:t>
            </w:r>
            <w:r>
              <w:rPr>
                <w:rStyle w:val="9"/>
                <w:lang w:bidi="ar"/>
              </w:rPr>
              <w:sym w:font="Wingdings 2" w:char="0052"/>
            </w:r>
            <w:r>
              <w:rPr>
                <w:rStyle w:val="7"/>
                <w:rFonts w:hint="default"/>
                <w:lang w:bidi="ar"/>
              </w:rPr>
              <w:t>委托开发</w:t>
            </w:r>
            <w:r>
              <w:rPr>
                <w:rStyle w:val="10"/>
                <w:lang w:bidi="ar"/>
              </w:rPr>
              <w:t xml:space="preserve"> </w:t>
            </w:r>
            <w:r>
              <w:rPr>
                <w:rStyle w:val="9"/>
                <w:lang w:bidi="ar"/>
              </w:rPr>
              <w:sym w:font="Wingdings 2" w:char="0052"/>
            </w:r>
            <w:r>
              <w:rPr>
                <w:rStyle w:val="7"/>
                <w:rFonts w:hint="default"/>
                <w:lang w:bidi="ar"/>
              </w:rPr>
              <w:t>合作开发</w:t>
            </w:r>
            <w:r>
              <w:rPr>
                <w:rStyle w:val="10"/>
                <w:lang w:bidi="ar"/>
              </w:rPr>
              <w:t xml:space="preserve"> </w:t>
            </w:r>
            <w:r>
              <w:rPr>
                <w:rStyle w:val="9"/>
                <w:lang w:bidi="ar"/>
              </w:rPr>
              <w:sym w:font="Wingdings 2" w:char="0052"/>
            </w:r>
            <w:r>
              <w:rPr>
                <w:rStyle w:val="7"/>
                <w:rFonts w:hint="default"/>
                <w:lang w:bidi="ar"/>
              </w:rPr>
              <w:t>技术咨询</w:t>
            </w:r>
            <w:r>
              <w:rPr>
                <w:rStyle w:val="10"/>
                <w:lang w:bidi="ar"/>
              </w:rPr>
              <w:t xml:space="preserve"> </w:t>
            </w:r>
            <w:r>
              <w:rPr>
                <w:rStyle w:val="9"/>
                <w:lang w:bidi="ar"/>
              </w:rPr>
              <w:sym w:font="Wingdings 2" w:char="0052"/>
            </w:r>
            <w:r>
              <w:rPr>
                <w:rStyle w:val="7"/>
                <w:rFonts w:hint="default"/>
                <w:lang w:bidi="ar"/>
              </w:rPr>
              <w:t>技术服务</w:t>
            </w:r>
            <w:r>
              <w:rPr>
                <w:rStyle w:val="10"/>
                <w:lang w:bidi="ar"/>
              </w:rPr>
              <w:t xml:space="preserve"> </w:t>
            </w:r>
            <w:r>
              <w:rPr>
                <w:rStyle w:val="9"/>
                <w:lang w:bidi="ar"/>
              </w:rPr>
              <w:t>£</w:t>
            </w:r>
            <w:r>
              <w:rPr>
                <w:rStyle w:val="7"/>
                <w:rFonts w:hint="default"/>
                <w:lang w:bidi="ar"/>
              </w:rPr>
              <w:t>技术入股</w:t>
            </w:r>
            <w:r>
              <w:rPr>
                <w:rStyle w:val="10"/>
                <w:lang w:bidi="ar"/>
              </w:rPr>
              <w:t xml:space="preserve"> </w:t>
            </w:r>
            <w:r>
              <w:rPr>
                <w:rStyle w:val="9"/>
                <w:lang w:bidi="ar"/>
              </w:rPr>
              <w:sym w:font="Wingdings 2" w:char="0052"/>
            </w:r>
            <w:r>
              <w:rPr>
                <w:rStyle w:val="7"/>
                <w:rFonts w:hint="default"/>
                <w:lang w:bidi="ar"/>
              </w:rPr>
              <w:t>创业融资</w:t>
            </w:r>
            <w:r>
              <w:rPr>
                <w:rStyle w:val="10"/>
                <w:lang w:bidi="ar"/>
              </w:rPr>
              <w:t xml:space="preserve"> </w:t>
            </w:r>
            <w:r>
              <w:rPr>
                <w:rStyle w:val="9"/>
                <w:lang w:bidi="ar"/>
              </w:rPr>
              <w:t>£</w:t>
            </w:r>
            <w:r>
              <w:rPr>
                <w:rStyle w:val="7"/>
                <w:rFonts w:hint="default"/>
                <w:lang w:bidi="ar"/>
              </w:rPr>
              <w:t>股权融资</w:t>
            </w:r>
          </w:p>
        </w:tc>
      </w:tr>
      <w:tr>
        <w:tblPrEx>
          <w:tblCellMar>
            <w:top w:w="0" w:type="dxa"/>
            <w:left w:w="108" w:type="dxa"/>
            <w:bottom w:w="0" w:type="dxa"/>
            <w:right w:w="108" w:type="dxa"/>
          </w:tblCellMar>
        </w:tblPrEx>
        <w:trPr>
          <w:trHeight w:val="76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成果类型</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sym w:font="Wingdings" w:char="00FE"/>
            </w:r>
            <w:r>
              <w:rPr>
                <w:rStyle w:val="7"/>
                <w:rFonts w:hint="default"/>
                <w:lang w:bidi="ar"/>
              </w:rPr>
              <w:t xml:space="preserve">发明专利   </w:t>
            </w:r>
            <w:r>
              <w:rPr>
                <w:rStyle w:val="8"/>
                <w:rFonts w:eastAsia="宋体"/>
                <w:lang w:bidi="ar"/>
              </w:rPr>
              <w:sym w:font="Wingdings" w:char="00FE"/>
            </w:r>
            <w:r>
              <w:rPr>
                <w:rStyle w:val="7"/>
                <w:rFonts w:hint="default"/>
                <w:lang w:bidi="ar"/>
              </w:rPr>
              <w:t xml:space="preserve">实用新型专利   </w:t>
            </w:r>
            <w:r>
              <w:rPr>
                <w:rStyle w:val="8"/>
                <w:rFonts w:eastAsia="宋体"/>
                <w:lang w:bidi="ar"/>
              </w:rPr>
              <w:sym w:font="Wingdings" w:char="00FE"/>
            </w:r>
            <w:r>
              <w:rPr>
                <w:rStyle w:val="7"/>
                <w:rFonts w:hint="default"/>
                <w:lang w:bidi="ar"/>
              </w:rPr>
              <w:t xml:space="preserve">软件著作权   </w:t>
            </w:r>
            <w:r>
              <w:rPr>
                <w:rStyle w:val="8"/>
                <w:rFonts w:eastAsia="宋体"/>
                <w:lang w:bidi="ar"/>
              </w:rPr>
              <w:t>¨</w:t>
            </w:r>
            <w:r>
              <w:rPr>
                <w:rStyle w:val="7"/>
                <w:rFonts w:hint="default"/>
                <w:lang w:bidi="ar"/>
              </w:rPr>
              <w:t xml:space="preserve">著作权  </w:t>
            </w:r>
            <w:r>
              <w:rPr>
                <w:rStyle w:val="8"/>
                <w:rFonts w:eastAsia="宋体"/>
                <w:lang w:bidi="ar"/>
              </w:rPr>
              <w:t>¨</w:t>
            </w:r>
            <w:r>
              <w:rPr>
                <w:rStyle w:val="7"/>
                <w:rFonts w:hint="default"/>
                <w:lang w:bidi="ar"/>
              </w:rPr>
              <w:t>商标权</w:t>
            </w:r>
            <w:r>
              <w:rPr>
                <w:rStyle w:val="8"/>
                <w:rFonts w:eastAsia="宋体"/>
                <w:lang w:bidi="ar"/>
              </w:rPr>
              <w:t xml:space="preserve"> </w:t>
            </w:r>
            <w:r>
              <w:rPr>
                <w:rStyle w:val="9"/>
                <w:lang w:bidi="ar"/>
              </w:rPr>
              <w:t>£</w:t>
            </w:r>
            <w:r>
              <w:rPr>
                <w:rStyle w:val="7"/>
                <w:rFonts w:hint="default"/>
                <w:lang w:bidi="ar"/>
              </w:rPr>
              <w:t>外观设计</w:t>
            </w:r>
            <w:r>
              <w:rPr>
                <w:rStyle w:val="8"/>
                <w:rFonts w:eastAsia="宋体"/>
                <w:lang w:bidi="ar"/>
              </w:rPr>
              <w:t xml:space="preserve"> </w:t>
            </w:r>
            <w:r>
              <w:rPr>
                <w:rStyle w:val="9"/>
                <w:lang w:bidi="ar"/>
              </w:rPr>
              <w:t>£</w:t>
            </w:r>
            <w:r>
              <w:rPr>
                <w:rStyle w:val="7"/>
                <w:rFonts w:hint="default"/>
                <w:lang w:bidi="ar"/>
              </w:rPr>
              <w:t xml:space="preserve">新技术   </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项目所处阶段</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t>¨</w:t>
            </w:r>
            <w:r>
              <w:rPr>
                <w:rStyle w:val="7"/>
                <w:rFonts w:hint="default"/>
                <w:lang w:bidi="ar"/>
              </w:rPr>
              <w:t xml:space="preserve">种子期      </w:t>
            </w:r>
            <w:r>
              <w:rPr>
                <w:rStyle w:val="8"/>
                <w:rFonts w:eastAsia="宋体"/>
                <w:lang w:bidi="ar"/>
              </w:rPr>
              <w:t>¨</w:t>
            </w:r>
            <w:r>
              <w:rPr>
                <w:rStyle w:val="7"/>
                <w:rFonts w:hint="default"/>
                <w:lang w:bidi="ar"/>
              </w:rPr>
              <w:t xml:space="preserve">成长期     </w:t>
            </w:r>
            <w:r>
              <w:rPr>
                <w:rStyle w:val="8"/>
                <w:rFonts w:eastAsia="宋体"/>
                <w:lang w:bidi="ar"/>
              </w:rPr>
              <w:sym w:font="Wingdings" w:char="00FE"/>
            </w:r>
            <w:r>
              <w:rPr>
                <w:rStyle w:val="7"/>
                <w:rFonts w:hint="default"/>
                <w:lang w:bidi="ar"/>
              </w:rPr>
              <w:t xml:space="preserve">成熟期   </w:t>
            </w:r>
            <w:r>
              <w:rPr>
                <w:rStyle w:val="8"/>
                <w:rFonts w:eastAsia="宋体"/>
                <w:lang w:bidi="ar"/>
              </w:rPr>
              <w:t>¨</w:t>
            </w:r>
            <w:r>
              <w:rPr>
                <w:rStyle w:val="7"/>
                <w:rFonts w:hint="default"/>
                <w:lang w:bidi="ar"/>
              </w:rPr>
              <w:t>Pre-IPO</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本次融资轮次</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t>¨</w:t>
            </w:r>
            <w:r>
              <w:rPr>
                <w:rStyle w:val="7"/>
                <w:rFonts w:hint="default"/>
                <w:lang w:bidi="ar"/>
              </w:rPr>
              <w:t xml:space="preserve">天使   </w:t>
            </w:r>
            <w:r>
              <w:rPr>
                <w:rStyle w:val="8"/>
                <w:rFonts w:eastAsia="宋体"/>
                <w:lang w:bidi="ar"/>
              </w:rPr>
              <w:t>¨</w:t>
            </w:r>
            <w:r>
              <w:rPr>
                <w:rStyle w:val="7"/>
                <w:rFonts w:hint="default"/>
                <w:lang w:bidi="ar"/>
              </w:rPr>
              <w:t xml:space="preserve">Pre-A   </w:t>
            </w:r>
            <w:r>
              <w:rPr>
                <w:rStyle w:val="8"/>
                <w:rFonts w:eastAsia="宋体"/>
                <w:lang w:bidi="ar"/>
              </w:rPr>
              <w:t>¨</w:t>
            </w:r>
            <w:r>
              <w:rPr>
                <w:rStyle w:val="7"/>
                <w:rFonts w:hint="default"/>
                <w:lang w:bidi="ar"/>
              </w:rPr>
              <w:t xml:space="preserve">A轮   </w:t>
            </w:r>
            <w:r>
              <w:rPr>
                <w:rStyle w:val="8"/>
                <w:rFonts w:eastAsia="宋体"/>
                <w:lang w:bidi="ar"/>
              </w:rPr>
              <w:sym w:font="Wingdings" w:char="00FE"/>
            </w:r>
            <w:r>
              <w:rPr>
                <w:rStyle w:val="7"/>
                <w:rFonts w:hint="default"/>
                <w:lang w:bidi="ar"/>
              </w:rPr>
              <w:t xml:space="preserve">B轮  </w:t>
            </w:r>
            <w:r>
              <w:rPr>
                <w:rStyle w:val="8"/>
                <w:rFonts w:eastAsia="宋体"/>
                <w:lang w:bidi="ar"/>
              </w:rPr>
              <w:t>¨</w:t>
            </w:r>
            <w:r>
              <w:rPr>
                <w:rStyle w:val="7"/>
                <w:rFonts w:hint="default"/>
                <w:lang w:bidi="ar"/>
              </w:rPr>
              <w:t xml:space="preserve">C轮及以上   </w:t>
            </w:r>
          </w:p>
        </w:tc>
      </w:tr>
      <w:tr>
        <w:tblPrEx>
          <w:tblCellMar>
            <w:top w:w="0" w:type="dxa"/>
            <w:left w:w="108" w:type="dxa"/>
            <w:bottom w:w="0" w:type="dxa"/>
            <w:right w:w="108" w:type="dxa"/>
          </w:tblCellMar>
        </w:tblPrEx>
        <w:trPr>
          <w:trHeight w:val="740" w:hRule="atLeast"/>
        </w:trPr>
        <w:tc>
          <w:tcPr>
            <w:tcW w:w="22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推广诉求（根据自身情况勾选，可多选）</w:t>
            </w:r>
          </w:p>
        </w:tc>
        <w:tc>
          <w:tcPr>
            <w:tcW w:w="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sym w:font="Wingdings 2" w:char="0052"/>
            </w:r>
          </w:p>
        </w:tc>
        <w:tc>
          <w:tcPr>
            <w:tcW w:w="4540"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融资需求（融资需求请详细填写以下涉及融资的问题）</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eastAsia" w:ascii="仿宋" w:hAnsi="仿宋" w:eastAsia="仿宋" w:cs="微软雅黑 Light"/>
                <w:bCs/>
                <w:sz w:val="24"/>
                <w:lang w:eastAsia="zh-CN"/>
              </w:rPr>
            </w:pPr>
            <w:r>
              <w:rPr>
                <w:rFonts w:hint="eastAsia" w:ascii="仿宋" w:hAnsi="仿宋" w:eastAsia="仿宋" w:cs="微软雅黑 Light"/>
                <w:bCs/>
                <w:sz w:val="24"/>
              </w:rPr>
              <w:t>股权融资</w:t>
            </w:r>
            <w:r>
              <w:rPr>
                <w:rFonts w:hint="eastAsia" w:ascii="仿宋" w:hAnsi="仿宋" w:eastAsia="仿宋" w:cs="微软雅黑 Light"/>
                <w:bCs/>
                <w:sz w:val="24"/>
                <w:lang w:eastAsia="zh-CN"/>
              </w:rPr>
              <w:t>，</w:t>
            </w:r>
            <w:r>
              <w:rPr>
                <w:rFonts w:hint="eastAsia" w:ascii="仿宋" w:hAnsi="仿宋" w:eastAsia="仿宋" w:cs="微软雅黑 Light"/>
                <w:bCs/>
                <w:sz w:val="24"/>
              </w:rPr>
              <w:t>融资计划10000</w:t>
            </w:r>
            <w:r>
              <w:rPr>
                <w:rFonts w:hint="eastAsia" w:ascii="仿宋" w:hAnsi="仿宋" w:eastAsia="仿宋" w:cs="微软雅黑 Light"/>
                <w:bCs/>
                <w:sz w:val="24"/>
              </w:rPr>
              <w:t>万</w:t>
            </w:r>
          </w:p>
        </w:tc>
      </w:tr>
      <w:tr>
        <w:tblPrEx>
          <w:tblCellMar>
            <w:top w:w="0" w:type="dxa"/>
            <w:left w:w="108" w:type="dxa"/>
            <w:bottom w:w="0" w:type="dxa"/>
            <w:right w:w="108" w:type="dxa"/>
          </w:tblCellMar>
        </w:tblPrEx>
        <w:trPr>
          <w:trHeight w:val="72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sym w:font="Wingdings 2" w:char="0052"/>
            </w:r>
          </w:p>
        </w:tc>
        <w:tc>
          <w:tcPr>
            <w:tcW w:w="4540"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落地需求（意向区域：</w:t>
            </w:r>
            <w:r>
              <w:rPr>
                <w:rStyle w:val="11"/>
                <w:rFonts w:hint="default"/>
                <w:lang w:bidi="ar"/>
              </w:rPr>
              <w:t xml:space="preserve">   </w:t>
            </w:r>
            <w:r>
              <w:rPr>
                <w:rStyle w:val="11"/>
                <w:rFonts w:hint="eastAsia" w:eastAsia="宋体"/>
                <w:lang w:val="en-US" w:eastAsia="zh-CN" w:bidi="ar"/>
              </w:rPr>
              <w:t>天津</w:t>
            </w:r>
            <w:r>
              <w:rPr>
                <w:rStyle w:val="11"/>
                <w:rFonts w:hint="default"/>
                <w:lang w:bidi="ar"/>
              </w:rPr>
              <w:t xml:space="preserve">   </w:t>
            </w:r>
            <w:r>
              <w:rPr>
                <w:rStyle w:val="7"/>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eastAsia" w:ascii="仿宋" w:hAnsi="仿宋" w:eastAsia="仿宋" w:cs="微软雅黑 Light"/>
                <w:bCs/>
                <w:sz w:val="24"/>
                <w:lang w:eastAsia="zh-CN"/>
              </w:rPr>
            </w:pPr>
            <w:r>
              <w:rPr>
                <w:rFonts w:hint="eastAsia" w:ascii="仿宋" w:hAnsi="仿宋" w:eastAsia="仿宋" w:cs="微软雅黑 Light"/>
                <w:bCs/>
                <w:sz w:val="24"/>
              </w:rPr>
              <w:t>场地需要400平米</w:t>
            </w:r>
            <w:r>
              <w:rPr>
                <w:rFonts w:hint="eastAsia" w:ascii="仿宋" w:hAnsi="仿宋" w:eastAsia="仿宋" w:cs="微软雅黑 Light"/>
                <w:bCs/>
                <w:sz w:val="24"/>
                <w:lang w:eastAsia="zh-CN"/>
              </w:rPr>
              <w:t>，</w:t>
            </w:r>
            <w:r>
              <w:rPr>
                <w:rFonts w:hint="eastAsia" w:ascii="仿宋" w:hAnsi="仿宋" w:eastAsia="仿宋" w:cs="微软雅黑 Light"/>
                <w:bCs/>
                <w:sz w:val="24"/>
              </w:rPr>
              <w:t>联智期望与本土钢铁，化工，船舶，电力，水务，煤矿，水泥，烟草等行业的三产公司、销售公司、工程设计公司或维保公司等具有丰富资源的合作方，共同组建联智控股子公司，带动产业发展。落地的合作方向较多。 </w:t>
            </w:r>
          </w:p>
        </w:tc>
      </w:tr>
      <w:tr>
        <w:tblPrEx>
          <w:tblCellMar>
            <w:top w:w="0" w:type="dxa"/>
            <w:left w:w="108" w:type="dxa"/>
            <w:bottom w:w="0" w:type="dxa"/>
            <w:right w:w="108" w:type="dxa"/>
          </w:tblCellMar>
        </w:tblPrEx>
        <w:trPr>
          <w:trHeight w:val="452"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sym w:font="Wingdings 2" w:char="0052"/>
            </w:r>
          </w:p>
        </w:tc>
        <w:tc>
          <w:tcPr>
            <w:tcW w:w="2468"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应用场景需求（意向的行业或企业：</w:t>
            </w:r>
            <w:r>
              <w:rPr>
                <w:rStyle w:val="11"/>
                <w:rFonts w:hint="eastAsia" w:eastAsia="宋体"/>
                <w:lang w:val="en-US" w:eastAsia="zh-CN" w:bidi="ar"/>
              </w:rPr>
              <w:t>钢铁、化工、船舶</w:t>
            </w:r>
            <w:r>
              <w:rPr>
                <w:rStyle w:val="11"/>
                <w:rFonts w:hint="default"/>
                <w:lang w:bidi="ar"/>
              </w:rPr>
              <w:t xml:space="preserve"> </w:t>
            </w:r>
            <w:r>
              <w:rPr>
                <w:rStyle w:val="7"/>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hint="eastAsia" w:ascii="仿宋" w:hAnsi="仿宋" w:eastAsia="仿宋" w:cs="微软雅黑 Light"/>
                <w:bCs/>
                <w:sz w:val="24"/>
                <w:lang w:eastAsia="zh-CN"/>
              </w:rPr>
            </w:pPr>
            <w:r>
              <w:rPr>
                <w:rFonts w:hint="eastAsia" w:ascii="仿宋" w:hAnsi="仿宋" w:eastAsia="仿宋" w:cs="微软雅黑 Light"/>
                <w:bCs/>
                <w:sz w:val="24"/>
              </w:rPr>
              <w:t>联智期望与本土钢铁，化工，船舶，电力，水务，煤矿，水泥，烟草等行业的三产公司、销售公司、工程设计公司或维保公司等具有丰富资源的合作方</w:t>
            </w:r>
            <w:r>
              <w:rPr>
                <w:rFonts w:hint="eastAsia" w:ascii="仿宋" w:hAnsi="仿宋" w:eastAsia="仿宋" w:cs="微软雅黑 Light"/>
                <w:bCs/>
                <w:sz w:val="24"/>
                <w:lang w:eastAsia="zh-CN"/>
              </w:rPr>
              <w:t>。</w:t>
            </w:r>
          </w:p>
        </w:tc>
      </w:tr>
      <w:tr>
        <w:tblPrEx>
          <w:tblCellMar>
            <w:top w:w="0" w:type="dxa"/>
            <w:left w:w="108" w:type="dxa"/>
            <w:bottom w:w="0" w:type="dxa"/>
            <w:right w:w="108" w:type="dxa"/>
          </w:tblCellMar>
        </w:tblPrEx>
        <w:trPr>
          <w:trHeight w:val="76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sym w:font="Wingdings 2" w:char="0052"/>
            </w:r>
          </w:p>
        </w:tc>
        <w:tc>
          <w:tcPr>
            <w:tcW w:w="2468"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其他（请根据情况填写：</w:t>
            </w:r>
            <w:r>
              <w:rPr>
                <w:rFonts w:hint="eastAsia" w:ascii="宋体" w:hAnsi="宋体" w:eastAsia="宋体" w:cs="宋体"/>
                <w:sz w:val="24"/>
                <w:szCs w:val="24"/>
                <w:u w:val="single"/>
                <w:lang w:val="en-US" w:eastAsia="zh-CN"/>
              </w:rPr>
              <w:t>产业升级</w:t>
            </w:r>
            <w:r>
              <w:rPr>
                <w:rStyle w:val="7"/>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spacing w:line="240" w:lineRule="auto"/>
              <w:rPr>
                <w:rFonts w:ascii="宋体" w:hAnsi="宋体" w:eastAsia="宋体" w:cs="宋体"/>
                <w:color w:val="000000"/>
                <w:sz w:val="24"/>
                <w:szCs w:val="24"/>
              </w:rPr>
            </w:pPr>
            <w:r>
              <w:rPr>
                <w:rFonts w:hint="eastAsia" w:ascii="仿宋" w:hAnsi="仿宋" w:eastAsia="仿宋" w:cs="微软雅黑 Light"/>
                <w:bCs/>
                <w:sz w:val="24"/>
              </w:rPr>
              <w:t>联智可以有效助力企业实时掌握生产设备及零部件的健康状态，提升效率、降低成本、减少安全隐患，实现智慧化转型升级。</w:t>
            </w:r>
          </w:p>
        </w:tc>
      </w:tr>
      <w:tr>
        <w:tblPrEx>
          <w:tblCellMar>
            <w:top w:w="0" w:type="dxa"/>
            <w:left w:w="108" w:type="dxa"/>
            <w:bottom w:w="0" w:type="dxa"/>
            <w:right w:w="108" w:type="dxa"/>
          </w:tblCellMar>
        </w:tblPrEx>
        <w:trPr>
          <w:trHeight w:val="22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企业简介和项目</w:t>
            </w:r>
          </w:p>
        </w:tc>
        <w:tc>
          <w:tcPr>
            <w:tcW w:w="8455" w:type="dxa"/>
            <w:gridSpan w:val="6"/>
            <w:tcBorders>
              <w:top w:val="nil"/>
              <w:left w:val="nil"/>
              <w:bottom w:val="single" w:color="000000" w:sz="8" w:space="0"/>
              <w:right w:val="single" w:color="000000" w:sz="8" w:space="0"/>
            </w:tcBorders>
            <w:shd w:val="clear" w:color="auto" w:fill="auto"/>
            <w:vAlign w:val="center"/>
          </w:tcPr>
          <w:p>
            <w:pPr>
              <w:spacing w:line="400" w:lineRule="exact"/>
              <w:ind w:firstLine="480" w:firstLineChars="200"/>
              <w:rPr>
                <w:rFonts w:hint="eastAsia" w:ascii="仿宋" w:hAnsi="仿宋" w:eastAsia="仿宋" w:cs="微软雅黑 Light"/>
                <w:bCs/>
                <w:sz w:val="24"/>
              </w:rPr>
            </w:pPr>
            <w:r>
              <w:rPr>
                <w:rFonts w:hint="eastAsia" w:ascii="仿宋" w:hAnsi="仿宋" w:eastAsia="仿宋" w:cs="微软雅黑 Light"/>
                <w:bCs/>
                <w:sz w:val="24"/>
              </w:rPr>
              <w:t>联智科技是一家利用人工智能和工业物联网手段，对工业机械设备进行预测性维护和故障诊断的工业物联网平台高科技型企业。公司主创团队来自清华大学电机系，专注于工业设备智慧运维，为客户提供设备的数据采集、状态在线监测、故障预诊与健康管理、生产与维护决策优化等服务所组成完整一体化的预测性智慧运维解决方案。核心产品已被成功运用在钢铁/船舶/电力/制造等多个行业的知名企业，故障诊断准确率达到了国际领先水平。</w:t>
            </w:r>
          </w:p>
          <w:p>
            <w:pPr>
              <w:spacing w:line="400" w:lineRule="exact"/>
              <w:ind w:firstLine="480" w:firstLineChars="200"/>
              <w:rPr>
                <w:rFonts w:ascii="宋体" w:hAnsi="宋体" w:eastAsia="宋体" w:cs="宋体"/>
                <w:color w:val="000000"/>
                <w:sz w:val="24"/>
                <w:szCs w:val="24"/>
              </w:rPr>
            </w:pPr>
            <w:r>
              <w:rPr>
                <w:rFonts w:hint="eastAsia" w:ascii="仿宋" w:hAnsi="仿宋" w:eastAsia="仿宋" w:cs="微软雅黑 Light"/>
                <w:bCs/>
                <w:sz w:val="24"/>
              </w:rPr>
              <w:t>公司先后获得天津市创新创业大赛一等奖，36Kr新物种大赛企业服务赛道第一名，清华大学校长杯金奖等奖项，拥有相关知识产权30余项。在北京，天津，山东，江苏，浙江都设有分支机构。</w:t>
            </w:r>
          </w:p>
        </w:tc>
      </w:tr>
      <w:tr>
        <w:tblPrEx>
          <w:tblCellMar>
            <w:top w:w="0" w:type="dxa"/>
            <w:left w:w="108" w:type="dxa"/>
            <w:bottom w:w="0" w:type="dxa"/>
            <w:right w:w="108" w:type="dxa"/>
          </w:tblCellMar>
        </w:tblPrEx>
        <w:trPr>
          <w:trHeight w:val="1892"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主要产品与服务</w:t>
            </w:r>
          </w:p>
        </w:tc>
        <w:tc>
          <w:tcPr>
            <w:tcW w:w="8455" w:type="dxa"/>
            <w:gridSpan w:val="6"/>
            <w:tcBorders>
              <w:top w:val="nil"/>
              <w:left w:val="nil"/>
              <w:bottom w:val="single" w:color="000000" w:sz="8" w:space="0"/>
              <w:right w:val="single" w:color="000000" w:sz="8" w:space="0"/>
            </w:tcBorders>
            <w:shd w:val="clear" w:color="auto" w:fill="auto"/>
            <w:vAlign w:val="center"/>
          </w:tcPr>
          <w:p>
            <w:pPr>
              <w:spacing w:line="400" w:lineRule="exact"/>
              <w:ind w:firstLine="480" w:firstLineChars="200"/>
              <w:rPr>
                <w:rFonts w:ascii="仿宋" w:hAnsi="仿宋" w:eastAsia="仿宋" w:cs="仿宋"/>
                <w:bCs/>
                <w:sz w:val="24"/>
              </w:rPr>
            </w:pPr>
            <w:r>
              <w:rPr>
                <w:rFonts w:hint="eastAsia" w:ascii="仿宋" w:hAnsi="仿宋" w:eastAsia="仿宋" w:cs="仿宋"/>
                <w:bCs/>
                <w:sz w:val="24"/>
              </w:rPr>
              <w:t>工业设备智能预测性维护平台，以智能传感器为基础，将机理模型与人工智能相结合进行技术上的升级完善，国际领先的数据处理模型和算法模型为核心竞争力，实现工业领域底层设备的物联，依托云平台和大数据技术，以客户个性化需求为导向，量身打造智能工厂运维，利用振动数据、声音数据、温度数据、压力数据等多种生产数据，实现工业设备的预测性智慧运维解决方案，帮助客户提升生产效率，提高良品率，延长设备使用寿命，降低维护成本，减少安全隐患，增加新的收入，实现智慧化转型升级。</w:t>
            </w:r>
          </w:p>
          <w:p>
            <w:pPr>
              <w:spacing w:line="400" w:lineRule="exact"/>
              <w:ind w:firstLine="480" w:firstLineChars="200"/>
              <w:rPr>
                <w:rFonts w:ascii="宋体" w:hAnsi="宋体" w:eastAsia="宋体" w:cs="宋体"/>
                <w:color w:val="000000"/>
                <w:sz w:val="24"/>
                <w:szCs w:val="24"/>
              </w:rPr>
            </w:pPr>
            <w:r>
              <w:rPr>
                <w:rFonts w:hint="eastAsia" w:ascii="仿宋" w:hAnsi="仿宋" w:eastAsia="仿宋" w:cs="仿宋"/>
                <w:bCs/>
                <w:sz w:val="24"/>
              </w:rPr>
              <w:t>在技术上</w:t>
            </w:r>
            <w:r>
              <w:rPr>
                <w:rFonts w:hint="eastAsia" w:ascii="仿宋" w:hAnsi="仿宋" w:eastAsia="仿宋" w:cs="仿宋"/>
                <w:bCs/>
                <w:sz w:val="24"/>
                <w:lang w:val="en-US" w:eastAsia="zh-CN"/>
              </w:rPr>
              <w:t>联智</w:t>
            </w:r>
            <w:r>
              <w:rPr>
                <w:rFonts w:hint="eastAsia" w:ascii="仿宋" w:hAnsi="仿宋" w:eastAsia="仿宋" w:cs="仿宋"/>
                <w:bCs/>
                <w:sz w:val="24"/>
              </w:rPr>
              <w:t>的核心优势是【AI智能算法】+【机理模型】，将机理模型与人工智能相结合进行技术上的升级完善，AI智能算法通过机理模型针对性提取的故障诊断的特征参量的分析，可降低决策模型复杂度，实现工业设备泛用性模型，AI智能算法即可大幅度降低对训练数据数量的需求，即可实现工业设备的智慧运维。</w:t>
            </w:r>
          </w:p>
        </w:tc>
      </w:tr>
      <w:tr>
        <w:tblPrEx>
          <w:tblCellMar>
            <w:top w:w="0" w:type="dxa"/>
            <w:left w:w="108" w:type="dxa"/>
            <w:bottom w:w="0" w:type="dxa"/>
            <w:right w:w="108" w:type="dxa"/>
          </w:tblCellMar>
        </w:tblPrEx>
        <w:trPr>
          <w:trHeight w:val="2026"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主要管理团队</w:t>
            </w:r>
          </w:p>
        </w:tc>
        <w:tc>
          <w:tcPr>
            <w:tcW w:w="8455" w:type="dxa"/>
            <w:gridSpan w:val="6"/>
            <w:tcBorders>
              <w:top w:val="nil"/>
              <w:left w:val="nil"/>
              <w:bottom w:val="single" w:color="000000" w:sz="8" w:space="0"/>
              <w:right w:val="single" w:color="000000" w:sz="8" w:space="0"/>
            </w:tcBorders>
            <w:shd w:val="clear" w:color="auto" w:fill="auto"/>
          </w:tcPr>
          <w:p>
            <w:pPr>
              <w:ind w:firstLine="480" w:firstLineChars="200"/>
              <w:rPr>
                <w:rFonts w:ascii="宋体" w:hAnsi="宋体" w:eastAsia="宋体" w:cs="宋体"/>
                <w:color w:val="000000"/>
                <w:sz w:val="24"/>
                <w:szCs w:val="24"/>
              </w:rPr>
            </w:pPr>
            <w:r>
              <w:rPr>
                <w:rFonts w:hint="eastAsia" w:ascii="仿宋" w:hAnsi="仿宋" w:eastAsia="仿宋" w:cs="仿宋"/>
                <w:sz w:val="24"/>
              </w:rPr>
              <w:t>联智专注工业设备智慧运维，为客户提供设备的数据采集、状态在线监测、故障预诊与健康管理、生产与维护决策优化等服务所组成完整一体化的预测性智慧运维解决方案。主创团队均为清华大学电机系毕业，与清华大学电机系深度合作，在电机及旋转设备的故障诊断领域有着多年的经验积累，目前也逐渐针对泵、齿轮箱等设备开展合作。目前占据行业的技术至高点，技术优势明显。</w:t>
            </w:r>
          </w:p>
        </w:tc>
      </w:tr>
      <w:tr>
        <w:tblPrEx>
          <w:tblCellMar>
            <w:top w:w="0" w:type="dxa"/>
            <w:left w:w="108" w:type="dxa"/>
            <w:bottom w:w="0" w:type="dxa"/>
            <w:right w:w="108" w:type="dxa"/>
          </w:tblCellMar>
        </w:tblPrEx>
        <w:trPr>
          <w:trHeight w:val="2039"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公司发展预测</w:t>
            </w:r>
          </w:p>
        </w:tc>
        <w:tc>
          <w:tcPr>
            <w:tcW w:w="8455" w:type="dxa"/>
            <w:gridSpan w:val="6"/>
            <w:tcBorders>
              <w:top w:val="nil"/>
              <w:left w:val="nil"/>
              <w:bottom w:val="nil"/>
              <w:right w:val="single" w:color="000000" w:sz="8" w:space="0"/>
            </w:tcBorders>
            <w:shd w:val="clear" w:color="auto" w:fill="auto"/>
          </w:tcPr>
          <w:p>
            <w:pPr>
              <w:widowControl/>
              <w:shd w:val="clear" w:color="auto" w:fill="FFFFFF"/>
              <w:spacing w:line="400" w:lineRule="exact"/>
              <w:ind w:firstLine="480" w:firstLineChars="200"/>
              <w:jc w:val="left"/>
              <w:rPr>
                <w:rFonts w:ascii="宋体" w:hAnsi="宋体" w:eastAsia="宋体" w:cs="宋体"/>
                <w:color w:val="000000"/>
                <w:sz w:val="24"/>
                <w:szCs w:val="24"/>
              </w:rPr>
            </w:pPr>
            <w:r>
              <w:rPr>
                <w:rFonts w:hint="eastAsia" w:ascii="仿宋" w:hAnsi="仿宋" w:eastAsia="仿宋" w:cs="仿宋"/>
                <w:bCs/>
                <w:sz w:val="24"/>
              </w:rPr>
              <w:t>据统计，烟草加工业市场总容量</w:t>
            </w:r>
            <w:r>
              <w:rPr>
                <w:rFonts w:hint="eastAsia" w:ascii="仿宋" w:hAnsi="仿宋" w:eastAsia="仿宋" w:cs="仿宋"/>
                <w:bCs/>
                <w:sz w:val="24"/>
                <w:lang w:val="en-US" w:eastAsia="zh-CN"/>
              </w:rPr>
              <w:t>约为22.1亿元</w:t>
            </w:r>
            <w:r>
              <w:rPr>
                <w:rFonts w:hint="eastAsia" w:ascii="仿宋" w:hAnsi="仿宋" w:eastAsia="仿宋" w:cs="仿宋"/>
                <w:bCs/>
                <w:sz w:val="24"/>
              </w:rPr>
              <w:t>，变压器检测市场总容量约为</w:t>
            </w:r>
            <w:r>
              <w:rPr>
                <w:rFonts w:hint="eastAsia" w:ascii="仿宋" w:hAnsi="仿宋" w:eastAsia="仿宋" w:cs="仿宋"/>
                <w:bCs/>
                <w:sz w:val="24"/>
                <w:lang w:val="en-US" w:eastAsia="zh-CN"/>
              </w:rPr>
              <w:t>87亿元</w:t>
            </w:r>
            <w:r>
              <w:rPr>
                <w:rFonts w:hint="eastAsia" w:ascii="仿宋" w:hAnsi="仿宋" w:eastAsia="仿宋" w:cs="仿宋"/>
                <w:bCs/>
                <w:sz w:val="24"/>
              </w:rPr>
              <w:t>，环保企业市场总容量约为</w:t>
            </w:r>
            <w:r>
              <w:rPr>
                <w:rFonts w:hint="eastAsia" w:ascii="仿宋" w:hAnsi="仿宋" w:eastAsia="仿宋" w:cs="仿宋"/>
                <w:bCs/>
                <w:sz w:val="24"/>
                <w:lang w:val="en-US" w:eastAsia="zh-CN"/>
              </w:rPr>
              <w:t>8.85亿元</w:t>
            </w:r>
            <w:r>
              <w:rPr>
                <w:rFonts w:hint="eastAsia" w:ascii="仿宋" w:hAnsi="仿宋" w:eastAsia="仿宋" w:cs="仿宋"/>
                <w:bCs/>
                <w:sz w:val="24"/>
              </w:rPr>
              <w:t>，发电厂市场总容量约为</w:t>
            </w:r>
            <w:r>
              <w:rPr>
                <w:rFonts w:hint="eastAsia" w:ascii="仿宋" w:hAnsi="仿宋" w:eastAsia="仿宋" w:cs="仿宋"/>
                <w:bCs/>
                <w:sz w:val="24"/>
                <w:lang w:val="en-US" w:eastAsia="zh-CN"/>
              </w:rPr>
              <w:t>40亿元</w:t>
            </w:r>
            <w:r>
              <w:rPr>
                <w:rFonts w:hint="eastAsia" w:ascii="仿宋" w:hAnsi="仿宋" w:eastAsia="仿宋" w:cs="仿宋"/>
                <w:bCs/>
                <w:sz w:val="24"/>
              </w:rPr>
              <w:t>，风电市场总容量约为</w:t>
            </w:r>
            <w:r>
              <w:rPr>
                <w:rFonts w:hint="eastAsia" w:ascii="仿宋" w:hAnsi="仿宋" w:eastAsia="仿宋" w:cs="仿宋"/>
                <w:bCs/>
                <w:sz w:val="24"/>
                <w:lang w:val="en-US" w:eastAsia="zh-CN"/>
              </w:rPr>
              <w:t>48.26亿元</w:t>
            </w:r>
            <w:r>
              <w:rPr>
                <w:rFonts w:hint="eastAsia" w:ascii="仿宋" w:hAnsi="仿宋" w:eastAsia="仿宋" w:cs="仿宋"/>
                <w:bCs/>
                <w:sz w:val="24"/>
              </w:rPr>
              <w:t>，船舶市场总容量约为</w:t>
            </w:r>
            <w:r>
              <w:rPr>
                <w:rFonts w:hint="eastAsia" w:ascii="仿宋" w:hAnsi="仿宋" w:eastAsia="仿宋" w:cs="仿宋"/>
                <w:bCs/>
                <w:sz w:val="24"/>
                <w:lang w:val="en-US" w:eastAsia="zh-CN"/>
              </w:rPr>
              <w:t>64.635亿元</w:t>
            </w:r>
            <w:r>
              <w:rPr>
                <w:rFonts w:hint="eastAsia" w:ascii="仿宋" w:hAnsi="仿宋" w:eastAsia="仿宋" w:cs="仿宋"/>
                <w:bCs/>
                <w:sz w:val="24"/>
              </w:rPr>
              <w:t>，石油市场总容量约为</w:t>
            </w:r>
            <w:r>
              <w:rPr>
                <w:rFonts w:hint="eastAsia" w:ascii="仿宋" w:hAnsi="仿宋" w:eastAsia="仿宋" w:cs="仿宋"/>
                <w:bCs/>
                <w:sz w:val="24"/>
                <w:lang w:val="en-US" w:eastAsia="zh-CN"/>
              </w:rPr>
              <w:t>38.755亿元</w:t>
            </w:r>
            <w:r>
              <w:rPr>
                <w:rFonts w:hint="eastAsia" w:ascii="仿宋" w:hAnsi="仿宋" w:eastAsia="仿宋" w:cs="仿宋"/>
                <w:bCs/>
                <w:sz w:val="24"/>
              </w:rPr>
              <w:t>，钢铁市场总容量约为</w:t>
            </w:r>
            <w:r>
              <w:rPr>
                <w:rFonts w:hint="eastAsia" w:ascii="仿宋" w:hAnsi="仿宋" w:eastAsia="仿宋" w:cs="仿宋"/>
                <w:bCs/>
                <w:sz w:val="24"/>
                <w:lang w:val="en-US" w:eastAsia="zh-CN"/>
              </w:rPr>
              <w:t>280.55亿元</w:t>
            </w:r>
            <w:r>
              <w:rPr>
                <w:rFonts w:hint="eastAsia" w:ascii="仿宋" w:hAnsi="仿宋" w:eastAsia="仿宋" w:cs="仿宋"/>
                <w:bCs/>
                <w:sz w:val="24"/>
              </w:rPr>
              <w:t>，铝材市场总容量约为</w:t>
            </w:r>
            <w:r>
              <w:rPr>
                <w:rFonts w:hint="eastAsia" w:ascii="仿宋" w:hAnsi="仿宋" w:eastAsia="仿宋" w:cs="仿宋"/>
                <w:bCs/>
                <w:sz w:val="24"/>
                <w:lang w:val="en-US" w:eastAsia="zh-CN"/>
              </w:rPr>
              <w:t>71.65亿元</w:t>
            </w:r>
            <w:r>
              <w:rPr>
                <w:rFonts w:hint="eastAsia" w:ascii="仿宋" w:hAnsi="仿宋" w:eastAsia="仿宋" w:cs="仿宋"/>
                <w:bCs/>
                <w:sz w:val="24"/>
              </w:rPr>
              <w:t>，煤炭市场总容量约为</w:t>
            </w:r>
            <w:r>
              <w:rPr>
                <w:rFonts w:hint="eastAsia" w:ascii="仿宋" w:hAnsi="仿宋" w:eastAsia="仿宋" w:cs="仿宋"/>
                <w:bCs/>
                <w:sz w:val="24"/>
                <w:lang w:val="en-US" w:eastAsia="zh-CN"/>
              </w:rPr>
              <w:t>200亿元</w:t>
            </w:r>
            <w:r>
              <w:rPr>
                <w:rFonts w:hint="eastAsia" w:ascii="仿宋" w:hAnsi="仿宋" w:eastAsia="仿宋" w:cs="仿宋"/>
                <w:bCs/>
                <w:sz w:val="24"/>
              </w:rPr>
              <w:t>，核电市场总容量约为</w:t>
            </w:r>
            <w:r>
              <w:rPr>
                <w:rFonts w:hint="eastAsia" w:ascii="仿宋" w:hAnsi="仿宋" w:eastAsia="仿宋" w:cs="仿宋"/>
                <w:bCs/>
                <w:sz w:val="24"/>
                <w:lang w:val="en-US" w:eastAsia="zh-CN"/>
              </w:rPr>
              <w:t>380.88亿元。</w:t>
            </w:r>
          </w:p>
        </w:tc>
      </w:tr>
      <w:tr>
        <w:tblPrEx>
          <w:tblCellMar>
            <w:top w:w="0" w:type="dxa"/>
            <w:left w:w="108" w:type="dxa"/>
            <w:bottom w:w="0" w:type="dxa"/>
            <w:right w:w="108" w:type="dxa"/>
          </w:tblCellMar>
        </w:tblPrEx>
        <w:trPr>
          <w:trHeight w:val="10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过往融资情况</w:t>
            </w:r>
          </w:p>
        </w:tc>
        <w:tc>
          <w:tcPr>
            <w:tcW w:w="8455" w:type="dxa"/>
            <w:gridSpan w:val="6"/>
            <w:tcBorders>
              <w:top w:val="single" w:color="000000" w:sz="8" w:space="0"/>
              <w:left w:val="nil"/>
              <w:bottom w:val="single" w:color="000000" w:sz="8" w:space="0"/>
              <w:right w:val="single" w:color="000000" w:sz="8" w:space="0"/>
            </w:tcBorders>
            <w:shd w:val="clear" w:color="auto" w:fill="auto"/>
          </w:tcPr>
          <w:p>
            <w:pPr>
              <w:spacing w:line="400" w:lineRule="exact"/>
              <w:rPr>
                <w:rFonts w:ascii="宋体" w:hAnsi="宋体" w:eastAsia="宋体" w:cs="宋体"/>
                <w:color w:val="000000"/>
                <w:sz w:val="24"/>
                <w:szCs w:val="24"/>
              </w:rPr>
            </w:pPr>
            <w:r>
              <w:rPr>
                <w:rFonts w:hint="eastAsia" w:ascii="仿宋" w:hAnsi="仿宋" w:eastAsia="仿宋"/>
                <w:color w:val="000000"/>
                <w:sz w:val="24"/>
                <w:shd w:val="clear" w:color="auto" w:fill="FFFFFF"/>
              </w:rPr>
              <w:t>2020年7月10日，联智科技获得拙朴投资投资，总金额近亿元人民币A轮融资。</w:t>
            </w:r>
          </w:p>
        </w:tc>
      </w:tr>
      <w:tr>
        <w:tblPrEx>
          <w:tblCellMar>
            <w:top w:w="0" w:type="dxa"/>
            <w:left w:w="108" w:type="dxa"/>
            <w:bottom w:w="0" w:type="dxa"/>
            <w:right w:w="108" w:type="dxa"/>
          </w:tblCellMar>
        </w:tblPrEx>
        <w:trPr>
          <w:trHeight w:val="885"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近两年财务状况</w:t>
            </w:r>
          </w:p>
        </w:tc>
        <w:tc>
          <w:tcPr>
            <w:tcW w:w="8455" w:type="dxa"/>
            <w:gridSpan w:val="6"/>
            <w:tcBorders>
              <w:top w:val="nil"/>
              <w:left w:val="nil"/>
              <w:bottom w:val="single" w:color="000000" w:sz="8" w:space="0"/>
              <w:right w:val="single" w:color="000000" w:sz="8" w:space="0"/>
            </w:tcBorders>
            <w:shd w:val="clear" w:color="auto" w:fill="auto"/>
          </w:tcPr>
          <w:p>
            <w:pPr>
              <w:rPr>
                <w:rFonts w:hint="eastAsia" w:ascii="宋体" w:hAnsi="宋体" w:eastAsia="仿宋" w:cs="宋体"/>
                <w:color w:val="000000"/>
                <w:sz w:val="24"/>
                <w:szCs w:val="24"/>
                <w:lang w:eastAsia="zh-CN"/>
              </w:rPr>
            </w:pPr>
            <w:r>
              <w:rPr>
                <w:rFonts w:hint="eastAsia" w:ascii="仿宋" w:hAnsi="仿宋" w:eastAsia="仿宋" w:cs="微软雅黑 Light"/>
                <w:bCs/>
                <w:sz w:val="24"/>
              </w:rPr>
              <w:t>2021年销售收入5000万元</w:t>
            </w:r>
            <w:r>
              <w:rPr>
                <w:rFonts w:hint="eastAsia" w:ascii="仿宋" w:hAnsi="仿宋" w:eastAsia="仿宋" w:cs="微软雅黑 Light"/>
                <w:bCs/>
                <w:sz w:val="24"/>
                <w:lang w:eastAsia="zh-CN"/>
              </w:rPr>
              <w:t>；</w:t>
            </w:r>
            <w:r>
              <w:rPr>
                <w:rFonts w:hint="eastAsia" w:ascii="仿宋" w:hAnsi="仿宋" w:eastAsia="仿宋" w:cs="微软雅黑 Light"/>
                <w:bCs/>
                <w:sz w:val="24"/>
              </w:rPr>
              <w:t>2022年销售收入8000万元</w:t>
            </w:r>
            <w:r>
              <w:rPr>
                <w:rFonts w:hint="eastAsia" w:ascii="仿宋" w:hAnsi="仿宋" w:eastAsia="仿宋" w:cs="微软雅黑 Light"/>
                <w:bCs/>
                <w:sz w:val="24"/>
                <w:lang w:eastAsia="zh-CN"/>
              </w:rPr>
              <w:t>。</w:t>
            </w:r>
          </w:p>
        </w:tc>
      </w:tr>
      <w:tr>
        <w:tblPrEx>
          <w:tblCellMar>
            <w:top w:w="0" w:type="dxa"/>
            <w:left w:w="108" w:type="dxa"/>
            <w:bottom w:w="0" w:type="dxa"/>
            <w:right w:w="108" w:type="dxa"/>
          </w:tblCellMar>
        </w:tblPrEx>
        <w:trPr>
          <w:trHeight w:val="580" w:hRule="atLeast"/>
        </w:trPr>
        <w:tc>
          <w:tcPr>
            <w:tcW w:w="22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联系方式</w:t>
            </w: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联系人</w:t>
            </w:r>
          </w:p>
        </w:tc>
        <w:tc>
          <w:tcPr>
            <w:tcW w:w="2580"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高婷婷</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职务</w:t>
            </w:r>
          </w:p>
        </w:tc>
        <w:tc>
          <w:tcPr>
            <w:tcW w:w="1918"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助理</w:t>
            </w:r>
          </w:p>
        </w:tc>
      </w:tr>
      <w:tr>
        <w:tblPrEx>
          <w:tblCellMar>
            <w:top w:w="0" w:type="dxa"/>
            <w:left w:w="108" w:type="dxa"/>
            <w:bottom w:w="0" w:type="dxa"/>
            <w:right w:w="108" w:type="dxa"/>
          </w:tblCellMar>
        </w:tblPrEx>
        <w:trPr>
          <w:trHeight w:val="58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E-mail</w:t>
            </w:r>
          </w:p>
        </w:tc>
        <w:tc>
          <w:tcPr>
            <w:tcW w:w="2580" w:type="dxa"/>
            <w:gridSpan w:val="2"/>
            <w:tcBorders>
              <w:top w:val="single" w:color="000000" w:sz="8" w:space="0"/>
              <w:left w:val="nil"/>
              <w:bottom w:val="single" w:color="000000" w:sz="8" w:space="0"/>
              <w:right w:val="single" w:color="000000" w:sz="8" w:space="0"/>
            </w:tcBorders>
            <w:shd w:val="clear" w:color="auto" w:fill="auto"/>
            <w:vAlign w:val="center"/>
          </w:tcPr>
          <w:p>
            <w:pPr>
              <w:spacing w:line="400" w:lineRule="exact"/>
              <w:rPr>
                <w:rFonts w:ascii="宋体" w:hAnsi="宋体" w:eastAsia="宋体" w:cs="宋体"/>
                <w:color w:val="000000"/>
                <w:sz w:val="24"/>
                <w:szCs w:val="24"/>
              </w:rPr>
            </w:pPr>
            <w:r>
              <w:rPr>
                <w:rFonts w:hint="eastAsia" w:ascii="仿宋" w:hAnsi="仿宋" w:eastAsia="仿宋" w:cs="微软雅黑 Light"/>
                <w:bCs/>
                <w:sz w:val="24"/>
                <w:lang w:val="en-US" w:eastAsia="zh-CN"/>
              </w:rPr>
              <w:t>lianzhi20180209@163.com</w:t>
            </w:r>
            <w:r>
              <w:fldChar w:fldCharType="begin"/>
            </w:r>
            <w:r>
              <w:instrText xml:space="preserve"> HYPERLINK "mailto:miki@qiwu.ai" \o "mailto:miki@qiwu.ai" </w:instrText>
            </w:r>
            <w:r>
              <w:fldChar w:fldCharType="separate"/>
            </w:r>
            <w:r>
              <w:fldChar w:fldCharType="end"/>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手机</w:t>
            </w:r>
          </w:p>
        </w:tc>
        <w:tc>
          <w:tcPr>
            <w:tcW w:w="1918" w:type="dxa"/>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18222130368</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Light">
    <w:panose1 w:val="020B0502040204020203"/>
    <w:charset w:val="86"/>
    <w:family w:val="swiss"/>
    <w:pitch w:val="default"/>
    <w:sig w:usb0="80000287" w:usb1="2ACF0010" w:usb2="00000016" w:usb3="00000000" w:csb0="0004001F"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方正仿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OWJhYTdlNTJiNzkwZjkzMjIwNjc5YjMwNjhlZWQifQ=="/>
  </w:docVars>
  <w:rsids>
    <w:rsidRoot w:val="00000000"/>
    <w:rsid w:val="4B0C068F"/>
    <w:rsid w:val="6C03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360" w:lineRule="auto"/>
      <w:jc w:val="center"/>
      <w:outlineLvl w:val="0"/>
    </w:pPr>
    <w:rPr>
      <w:rFonts w:cs="Times New Roman"/>
      <w:b/>
      <w:bCs/>
      <w:kern w:val="44"/>
      <w:sz w:val="44"/>
      <w:szCs w:val="44"/>
      <w:lang w:val="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ind w:firstLine="555"/>
    </w:pPr>
    <w:rPr>
      <w:rFonts w:ascii="仿宋_GB2312" w:eastAsia="仿宋_GB2312"/>
      <w:sz w:val="32"/>
    </w:rPr>
  </w:style>
  <w:style w:type="paragraph" w:styleId="4">
    <w:name w:val="Body Text First Indent 2"/>
    <w:basedOn w:val="3"/>
    <w:qFormat/>
    <w:uiPriority w:val="99"/>
    <w:pPr>
      <w:spacing w:after="120"/>
      <w:ind w:left="420" w:leftChars="200" w:firstLine="420" w:firstLineChars="200"/>
    </w:pPr>
    <w:rPr>
      <w:rFonts w:eastAsia="宋体"/>
      <w:sz w:val="21"/>
    </w:rPr>
  </w:style>
  <w:style w:type="character" w:customStyle="1" w:styleId="7">
    <w:name w:val="font01"/>
    <w:basedOn w:val="6"/>
    <w:qFormat/>
    <w:uiPriority w:val="0"/>
    <w:rPr>
      <w:rFonts w:hint="eastAsia" w:ascii="宋体" w:hAnsi="宋体" w:eastAsia="宋体" w:cs="宋体"/>
      <w:color w:val="000000"/>
      <w:sz w:val="24"/>
      <w:szCs w:val="24"/>
      <w:u w:val="none"/>
    </w:rPr>
  </w:style>
  <w:style w:type="character" w:customStyle="1" w:styleId="8">
    <w:name w:val="font61"/>
    <w:basedOn w:val="6"/>
    <w:qFormat/>
    <w:uiPriority w:val="0"/>
    <w:rPr>
      <w:rFonts w:hint="default" w:ascii="Wingdings" w:hAnsi="Wingdings" w:cs="Wingdings"/>
      <w:color w:val="000000"/>
      <w:sz w:val="24"/>
      <w:szCs w:val="24"/>
      <w:u w:val="none"/>
    </w:rPr>
  </w:style>
  <w:style w:type="character" w:customStyle="1" w:styleId="9">
    <w:name w:val="font71"/>
    <w:basedOn w:val="6"/>
    <w:qFormat/>
    <w:uiPriority w:val="0"/>
    <w:rPr>
      <w:rFonts w:ascii="Wingdings 2" w:hAnsi="Wingdings 2" w:eastAsia="Wingdings 2" w:cs="Wingdings 2"/>
      <w:b/>
      <w:bCs/>
      <w:color w:val="000000"/>
      <w:sz w:val="24"/>
      <w:szCs w:val="24"/>
      <w:u w:val="none"/>
    </w:rPr>
  </w:style>
  <w:style w:type="character" w:customStyle="1" w:styleId="10">
    <w:name w:val="font11"/>
    <w:basedOn w:val="6"/>
    <w:qFormat/>
    <w:uiPriority w:val="0"/>
    <w:rPr>
      <w:rFonts w:hint="default" w:ascii="Wingdings 2" w:hAnsi="Wingdings 2" w:eastAsia="Wingdings 2" w:cs="Wingdings 2"/>
      <w:color w:val="000000"/>
      <w:sz w:val="24"/>
      <w:szCs w:val="24"/>
      <w:u w:val="none"/>
    </w:rPr>
  </w:style>
  <w:style w:type="character" w:customStyle="1" w:styleId="11">
    <w:name w:val="font81"/>
    <w:basedOn w:val="6"/>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338</Words>
  <Characters>373</Characters>
  <Lines>0</Lines>
  <Paragraphs>0</Paragraphs>
  <TotalTime>1</TotalTime>
  <ScaleCrop>false</ScaleCrop>
  <LinksUpToDate>false</LinksUpToDate>
  <CharactersWithSpaces>495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2022-11-24T02:57:00Z</dcterms:created>
  <dc:creator>86133</dc:creator>
  <cp:lastModifiedBy>烟花易冷</cp:lastModifiedBy>
  <dcterms:modified xsi:type="dcterms:W3CDTF">2022-11-24T07:35:47Z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9BAE878E41D14A7EA0C46170E5519082</vt:lpwstr>
  </property>
</Properties>
</file>