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margin" w:tblpXSpec="center" w:tblpY="290"/>
        <w:tblOverlap w:val="never"/>
        <w:tblW w:w="10747" w:type="dxa"/>
        <w:tblInd w:w="0" w:type="dxa"/>
        <w:tblLayout w:type="fixed"/>
        <w:tblCellMar>
          <w:top w:w="0" w:type="dxa"/>
          <w:left w:w="108" w:type="dxa"/>
          <w:bottom w:w="0" w:type="dxa"/>
          <w:right w:w="108" w:type="dxa"/>
        </w:tblCellMar>
      </w:tblPr>
      <w:tblGrid>
        <w:gridCol w:w="2292"/>
        <w:gridCol w:w="805"/>
        <w:gridCol w:w="2072"/>
        <w:gridCol w:w="2468"/>
        <w:gridCol w:w="112"/>
        <w:gridCol w:w="1080"/>
        <w:gridCol w:w="1918"/>
      </w:tblGrid>
      <w:tr>
        <w:tblPrEx>
          <w:tblCellMar>
            <w:top w:w="0" w:type="dxa"/>
            <w:left w:w="108" w:type="dxa"/>
            <w:bottom w:w="0" w:type="dxa"/>
            <w:right w:w="108" w:type="dxa"/>
          </w:tblCellMar>
        </w:tblPrEx>
        <w:trPr>
          <w:trHeight w:val="465" w:hRule="atLeast"/>
        </w:trPr>
        <w:tc>
          <w:tcPr>
            <w:tcW w:w="10747" w:type="dxa"/>
            <w:gridSpan w:val="7"/>
            <w:tcBorders>
              <w:top w:val="nil"/>
              <w:left w:val="nil"/>
              <w:bottom w:val="nil"/>
              <w:right w:val="nil"/>
            </w:tcBorders>
            <w:shd w:val="clear" w:color="auto" w:fill="auto"/>
            <w:noWrap/>
            <w:vAlign w:val="center"/>
          </w:tcPr>
          <w:p>
            <w:pPr>
              <w:pStyle w:val="16"/>
              <w:keepNext w:val="0"/>
              <w:keepLines w:val="0"/>
              <w:widowControl/>
              <w:suppressLineNumbers w:val="0"/>
              <w:adjustRightInd w:val="0"/>
              <w:snapToGrid w:val="0"/>
              <w:spacing w:before="0" w:beforeAutospacing="0" w:after="0" w:afterAutospacing="0" w:line="560" w:lineRule="exact"/>
              <w:ind w:left="0" w:right="0" w:firstLine="0" w:firstLineChars="0"/>
              <w:rPr>
                <w:rFonts w:hint="default" w:ascii="宋体" w:hAnsi="宋体" w:cs="宋体"/>
                <w:b/>
                <w:bCs/>
                <w:color w:val="000000"/>
                <w:sz w:val="36"/>
                <w:szCs w:val="36"/>
              </w:rPr>
            </w:pPr>
            <w:r>
              <w:rPr>
                <w:rFonts w:hint="eastAsia" w:ascii="仿宋" w:hAnsi="仿宋" w:eastAsia="仿宋" w:cs="仿宋_GB2312"/>
                <w:b/>
                <w:bCs/>
                <w:kern w:val="0"/>
                <w:sz w:val="28"/>
                <w:szCs w:val="28"/>
              </w:rPr>
              <w:t>附件一：项目征集表</w:t>
            </w:r>
          </w:p>
        </w:tc>
      </w:tr>
      <w:tr>
        <w:tblPrEx>
          <w:tblCellMar>
            <w:top w:w="0" w:type="dxa"/>
            <w:left w:w="108" w:type="dxa"/>
            <w:bottom w:w="0" w:type="dxa"/>
            <w:right w:w="108" w:type="dxa"/>
          </w:tblCellMar>
        </w:tblPrEx>
        <w:trPr>
          <w:trHeight w:val="600" w:hRule="atLeast"/>
        </w:trPr>
        <w:tc>
          <w:tcPr>
            <w:tcW w:w="22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公司名称</w:t>
            </w:r>
          </w:p>
        </w:tc>
        <w:tc>
          <w:tcPr>
            <w:tcW w:w="2877"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上海智能交通有限公司</w:t>
            </w:r>
          </w:p>
        </w:tc>
        <w:tc>
          <w:tcPr>
            <w:tcW w:w="24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成立时间</w:t>
            </w:r>
          </w:p>
        </w:tc>
        <w:tc>
          <w:tcPr>
            <w:tcW w:w="311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4"/>
                <w:lang w:val="en-US" w:eastAsia="zh-CN"/>
              </w:rPr>
            </w:pPr>
            <w:r>
              <w:rPr>
                <w:rFonts w:hint="default" w:ascii="宋体" w:hAnsi="宋体" w:cs="宋体"/>
                <w:color w:val="000000"/>
                <w:sz w:val="24"/>
                <w:szCs w:val="24"/>
              </w:rPr>
              <w:t>2017年</w:t>
            </w:r>
            <w:r>
              <w:rPr>
                <w:rFonts w:hint="eastAsia" w:ascii="宋体" w:hAnsi="宋体" w:cs="宋体"/>
                <w:color w:val="000000"/>
                <w:sz w:val="24"/>
                <w:szCs w:val="24"/>
                <w:lang w:val="en-US" w:eastAsia="zh-CN"/>
              </w:rPr>
              <w:t>4</w:t>
            </w:r>
            <w:r>
              <w:rPr>
                <w:rFonts w:hint="default" w:ascii="宋体" w:hAnsi="宋体" w:cs="宋体"/>
                <w:color w:val="000000"/>
                <w:sz w:val="24"/>
                <w:szCs w:val="24"/>
              </w:rPr>
              <w:t>月</w:t>
            </w:r>
            <w:r>
              <w:rPr>
                <w:rFonts w:hint="eastAsia" w:ascii="宋体" w:hAnsi="宋体" w:cs="宋体"/>
                <w:color w:val="000000"/>
                <w:sz w:val="24"/>
                <w:szCs w:val="24"/>
                <w:lang w:val="en-US" w:eastAsia="zh-CN"/>
              </w:rPr>
              <w:t>20日</w:t>
            </w:r>
          </w:p>
        </w:tc>
      </w:tr>
      <w:tr>
        <w:tblPrEx>
          <w:tblCellMar>
            <w:top w:w="0" w:type="dxa"/>
            <w:left w:w="108" w:type="dxa"/>
            <w:bottom w:w="0" w:type="dxa"/>
            <w:right w:w="108" w:type="dxa"/>
          </w:tblCellMar>
        </w:tblPrEx>
        <w:trPr>
          <w:trHeight w:val="87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公司地址</w:t>
            </w:r>
          </w:p>
        </w:tc>
        <w:tc>
          <w:tcPr>
            <w:tcW w:w="2877" w:type="dxa"/>
            <w:gridSpan w:val="2"/>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上海市杨浦区周家嘴路1229号A座4楼</w:t>
            </w:r>
          </w:p>
        </w:tc>
        <w:tc>
          <w:tcPr>
            <w:tcW w:w="24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注册资本</w:t>
            </w:r>
          </w:p>
        </w:tc>
        <w:tc>
          <w:tcPr>
            <w:tcW w:w="3110" w:type="dxa"/>
            <w:gridSpan w:val="3"/>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1亿元</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所处行业</w:t>
            </w:r>
          </w:p>
        </w:tc>
        <w:tc>
          <w:tcPr>
            <w:tcW w:w="8455" w:type="dxa"/>
            <w:gridSpan w:val="6"/>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电子信息</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成熟度</w:t>
            </w:r>
          </w:p>
        </w:tc>
        <w:tc>
          <w:tcPr>
            <w:tcW w:w="845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Wingdings" w:hAnsi="Wingdings" w:cs="Wingdings"/>
                <w:color w:val="000000"/>
                <w:sz w:val="24"/>
                <w:szCs w:val="24"/>
              </w:rPr>
            </w:pPr>
            <w:r>
              <w:rPr>
                <w:rFonts w:hint="default" w:ascii="Wingdings" w:hAnsi="Wingdings" w:cs="Wingdings"/>
                <w:color w:val="000000"/>
                <w:kern w:val="0"/>
                <w:sz w:val="24"/>
                <w:szCs w:val="24"/>
                <w:lang w:bidi="ar"/>
              </w:rPr>
              <w:t></w:t>
            </w:r>
            <w:r>
              <w:rPr>
                <w:rStyle w:val="23"/>
                <w:rFonts w:hint="default"/>
                <w:lang w:bidi="ar"/>
              </w:rPr>
              <w:t xml:space="preserve">报告级 </w:t>
            </w:r>
            <w:r>
              <w:rPr>
                <w:rStyle w:val="24"/>
                <w:lang w:bidi="ar"/>
              </w:rPr>
              <w:t></w:t>
            </w:r>
            <w:r>
              <w:rPr>
                <w:rStyle w:val="23"/>
                <w:rFonts w:hint="default"/>
                <w:lang w:bidi="ar"/>
              </w:rPr>
              <w:t xml:space="preserve">方案级 </w:t>
            </w:r>
            <w:r>
              <w:rPr>
                <w:rStyle w:val="24"/>
                <w:lang w:bidi="ar"/>
              </w:rPr>
              <w:t></w:t>
            </w:r>
            <w:r>
              <w:rPr>
                <w:rStyle w:val="23"/>
                <w:rFonts w:hint="default"/>
                <w:lang w:bidi="ar"/>
              </w:rPr>
              <w:t xml:space="preserve">功能级 </w:t>
            </w:r>
            <w:r>
              <w:rPr>
                <w:rStyle w:val="24"/>
                <w:lang w:bidi="ar"/>
              </w:rPr>
              <w:t></w:t>
            </w:r>
            <w:r>
              <w:rPr>
                <w:rStyle w:val="23"/>
                <w:rFonts w:hint="default"/>
                <w:lang w:bidi="ar"/>
              </w:rPr>
              <w:t>仿真级</w:t>
            </w:r>
            <w:r>
              <w:rPr>
                <w:rStyle w:val="24"/>
                <w:lang w:bidi="ar"/>
              </w:rPr>
              <w:t></w:t>
            </w:r>
            <w:r>
              <w:rPr>
                <w:rStyle w:val="23"/>
                <w:rFonts w:hint="default"/>
                <w:lang w:bidi="ar"/>
              </w:rPr>
              <w:t>初样级</w:t>
            </w:r>
            <w:r>
              <w:rPr>
                <w:rStyle w:val="24"/>
                <w:lang w:bidi="ar"/>
              </w:rPr>
              <w:t></w:t>
            </w:r>
            <w:r>
              <w:rPr>
                <w:rStyle w:val="24"/>
                <w:lang w:bidi="ar"/>
              </w:rPr>
              <w:sym w:font="Wingdings" w:char="00FE"/>
            </w:r>
            <w:r>
              <w:rPr>
                <w:rStyle w:val="23"/>
                <w:rFonts w:hint="default"/>
                <w:lang w:bidi="ar"/>
              </w:rPr>
              <w:t>正样级</w:t>
            </w:r>
            <w:r>
              <w:rPr>
                <w:rStyle w:val="24"/>
                <w:lang w:bidi="ar"/>
              </w:rPr>
              <w:t></w:t>
            </w:r>
            <w:r>
              <w:rPr>
                <w:rStyle w:val="23"/>
                <w:rFonts w:hint="default"/>
                <w:lang w:bidi="ar"/>
              </w:rPr>
              <w:t>环境级</w:t>
            </w:r>
            <w:r>
              <w:rPr>
                <w:rStyle w:val="24"/>
                <w:lang w:bidi="ar"/>
              </w:rPr>
              <w:t></w:t>
            </w:r>
            <w:r>
              <w:rPr>
                <w:rStyle w:val="23"/>
                <w:rFonts w:hint="default"/>
                <w:lang w:bidi="ar"/>
              </w:rPr>
              <w:t>产品级</w:t>
            </w:r>
            <w:r>
              <w:rPr>
                <w:rStyle w:val="24"/>
                <w:lang w:bidi="ar"/>
              </w:rPr>
              <w:t></w:t>
            </w:r>
            <w:r>
              <w:rPr>
                <w:rStyle w:val="23"/>
                <w:rFonts w:hint="default"/>
                <w:lang w:bidi="ar"/>
              </w:rPr>
              <w:t>系统级</w:t>
            </w:r>
            <w:r>
              <w:rPr>
                <w:rStyle w:val="24"/>
                <w:lang w:bidi="ar"/>
              </w:rPr>
              <w:t></w:t>
            </w:r>
            <w:r>
              <w:rPr>
                <w:rStyle w:val="24"/>
                <w:lang w:bidi="ar"/>
              </w:rPr>
              <w:sym w:font="Wingdings" w:char="00FE"/>
            </w:r>
            <w:r>
              <w:rPr>
                <w:rStyle w:val="23"/>
                <w:rFonts w:hint="default"/>
                <w:lang w:bidi="ar"/>
              </w:rPr>
              <w:t>销售级</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合作方式</w:t>
            </w:r>
          </w:p>
        </w:tc>
        <w:tc>
          <w:tcPr>
            <w:tcW w:w="845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 xml:space="preserve">技术转让 </w:t>
            </w:r>
            <w:r>
              <w:rPr>
                <w:rStyle w:val="25"/>
                <w:rFonts w:hint="default"/>
                <w:lang w:bidi="ar"/>
              </w:rPr>
              <w:t></w:t>
            </w:r>
            <w:r>
              <w:rPr>
                <w:rStyle w:val="23"/>
                <w:rFonts w:hint="default"/>
                <w:lang w:bidi="ar"/>
              </w:rPr>
              <w:t>专利许可</w:t>
            </w:r>
            <w:r>
              <w:rPr>
                <w:rStyle w:val="26"/>
                <w:lang w:bidi="ar"/>
              </w:rPr>
              <w:t></w:t>
            </w:r>
            <w:r>
              <w:rPr>
                <w:rStyle w:val="25"/>
                <w:rFonts w:hint="default"/>
                <w:lang w:bidi="ar"/>
              </w:rPr>
              <w:t></w:t>
            </w:r>
            <w:r>
              <w:rPr>
                <w:rStyle w:val="23"/>
                <w:rFonts w:hint="default"/>
                <w:lang w:bidi="ar"/>
              </w:rPr>
              <w:t>委托开发</w:t>
            </w:r>
            <w:r>
              <w:rPr>
                <w:rStyle w:val="26"/>
                <w:lang w:bidi="ar"/>
              </w:rPr>
              <w:t></w:t>
            </w:r>
            <w:r>
              <w:rPr>
                <w:rStyle w:val="25"/>
                <w:rFonts w:hint="default"/>
                <w:lang w:bidi="ar"/>
              </w:rPr>
              <w:sym w:font="Wingdings 2" w:char="0052"/>
            </w:r>
            <w:r>
              <w:rPr>
                <w:rStyle w:val="23"/>
                <w:rFonts w:hint="default"/>
                <w:lang w:bidi="ar"/>
              </w:rPr>
              <w:t>合作开发</w:t>
            </w:r>
            <w:r>
              <w:rPr>
                <w:rStyle w:val="26"/>
                <w:lang w:bidi="ar"/>
              </w:rPr>
              <w:t></w:t>
            </w:r>
            <w:r>
              <w:rPr>
                <w:rStyle w:val="25"/>
                <w:rFonts w:hint="default"/>
                <w:lang w:bidi="ar"/>
              </w:rPr>
              <w:t></w:t>
            </w:r>
            <w:r>
              <w:rPr>
                <w:rStyle w:val="23"/>
                <w:rFonts w:hint="default"/>
                <w:lang w:bidi="ar"/>
              </w:rPr>
              <w:t>技术咨询</w:t>
            </w:r>
            <w:r>
              <w:rPr>
                <w:rStyle w:val="26"/>
                <w:lang w:bidi="ar"/>
              </w:rPr>
              <w:t></w:t>
            </w:r>
            <w:r>
              <w:rPr>
                <w:rStyle w:val="25"/>
                <w:rFonts w:hint="default"/>
                <w:lang w:bidi="ar"/>
              </w:rPr>
              <w:sym w:font="Wingdings 2" w:char="0052"/>
            </w:r>
            <w:r>
              <w:rPr>
                <w:rStyle w:val="23"/>
                <w:rFonts w:hint="default"/>
                <w:lang w:bidi="ar"/>
              </w:rPr>
              <w:t>技术服务</w:t>
            </w:r>
            <w:r>
              <w:rPr>
                <w:rStyle w:val="26"/>
                <w:lang w:bidi="ar"/>
              </w:rPr>
              <w:t></w:t>
            </w:r>
            <w:r>
              <w:rPr>
                <w:rStyle w:val="25"/>
                <w:rFonts w:hint="default"/>
                <w:lang w:bidi="ar"/>
              </w:rPr>
              <w:t></w:t>
            </w:r>
            <w:r>
              <w:rPr>
                <w:rStyle w:val="23"/>
                <w:rFonts w:hint="default"/>
                <w:lang w:bidi="ar"/>
              </w:rPr>
              <w:t>技术入股</w:t>
            </w:r>
            <w:r>
              <w:rPr>
                <w:rStyle w:val="26"/>
                <w:lang w:bidi="ar"/>
              </w:rPr>
              <w:t></w:t>
            </w:r>
            <w:r>
              <w:rPr>
                <w:rStyle w:val="25"/>
                <w:rFonts w:hint="default"/>
                <w:lang w:bidi="ar"/>
              </w:rPr>
              <w:t></w:t>
            </w:r>
            <w:r>
              <w:rPr>
                <w:rStyle w:val="23"/>
                <w:rFonts w:hint="default"/>
                <w:lang w:bidi="ar"/>
              </w:rPr>
              <w:t>创业融资</w:t>
            </w:r>
            <w:r>
              <w:rPr>
                <w:rStyle w:val="26"/>
                <w:lang w:bidi="ar"/>
              </w:rPr>
              <w:t></w:t>
            </w:r>
            <w:r>
              <w:rPr>
                <w:rStyle w:val="25"/>
                <w:rFonts w:hint="default"/>
                <w:lang w:bidi="ar"/>
              </w:rPr>
              <w:sym w:font="Wingdings 2" w:char="0052"/>
            </w:r>
            <w:r>
              <w:rPr>
                <w:rStyle w:val="23"/>
                <w:rFonts w:hint="default"/>
                <w:lang w:bidi="ar"/>
              </w:rPr>
              <w:t>股权融资</w:t>
            </w:r>
          </w:p>
        </w:tc>
      </w:tr>
      <w:tr>
        <w:tblPrEx>
          <w:tblCellMar>
            <w:top w:w="0" w:type="dxa"/>
            <w:left w:w="108" w:type="dxa"/>
            <w:bottom w:w="0" w:type="dxa"/>
            <w:right w:w="108" w:type="dxa"/>
          </w:tblCellMar>
        </w:tblPrEx>
        <w:trPr>
          <w:trHeight w:val="76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成果类型</w:t>
            </w:r>
          </w:p>
        </w:tc>
        <w:tc>
          <w:tcPr>
            <w:tcW w:w="845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Wingdings" w:hAnsi="Wingdings" w:cs="Wingdings"/>
                <w:color w:val="000000"/>
                <w:sz w:val="24"/>
                <w:szCs w:val="24"/>
              </w:rPr>
            </w:pPr>
            <w:r>
              <w:rPr>
                <w:rFonts w:hint="default" w:ascii="Wingdings" w:hAnsi="Wingdings" w:cs="Wingdings"/>
                <w:color w:val="000000"/>
                <w:kern w:val="0"/>
                <w:sz w:val="24"/>
                <w:szCs w:val="24"/>
                <w:lang w:bidi="ar"/>
              </w:rPr>
              <w:sym w:font="Wingdings" w:char="00FE"/>
            </w:r>
            <w:r>
              <w:rPr>
                <w:rStyle w:val="23"/>
                <w:rFonts w:hint="default"/>
                <w:lang w:bidi="ar"/>
              </w:rPr>
              <w:t xml:space="preserve">发明专利   </w:t>
            </w:r>
            <w:r>
              <w:rPr>
                <w:rStyle w:val="24"/>
                <w:lang w:bidi="ar"/>
              </w:rPr>
              <w:sym w:font="Wingdings" w:char="00FE"/>
            </w:r>
            <w:r>
              <w:rPr>
                <w:rStyle w:val="23"/>
                <w:rFonts w:hint="default"/>
                <w:lang w:bidi="ar"/>
              </w:rPr>
              <w:t xml:space="preserve">实用新型专利   </w:t>
            </w:r>
            <w:r>
              <w:rPr>
                <w:rStyle w:val="24"/>
                <w:lang w:bidi="ar"/>
              </w:rPr>
              <w:sym w:font="Wingdings" w:char="00FE"/>
            </w:r>
            <w:r>
              <w:rPr>
                <w:rStyle w:val="23"/>
                <w:rFonts w:hint="default"/>
                <w:lang w:bidi="ar"/>
              </w:rPr>
              <w:t xml:space="preserve">软件著作权   </w:t>
            </w:r>
            <w:r>
              <w:rPr>
                <w:rStyle w:val="24"/>
                <w:lang w:bidi="ar"/>
              </w:rPr>
              <w:sym w:font="Wingdings" w:char="00FE"/>
            </w:r>
            <w:r>
              <w:rPr>
                <w:rStyle w:val="23"/>
                <w:rFonts w:hint="default"/>
                <w:lang w:bidi="ar"/>
              </w:rPr>
              <w:t xml:space="preserve">著作权  </w:t>
            </w:r>
            <w:r>
              <w:rPr>
                <w:rStyle w:val="24"/>
                <w:lang w:bidi="ar"/>
              </w:rPr>
              <w:sym w:font="Wingdings" w:char="00FE"/>
            </w:r>
            <w:r>
              <w:rPr>
                <w:rStyle w:val="23"/>
                <w:rFonts w:hint="default"/>
                <w:lang w:bidi="ar"/>
              </w:rPr>
              <w:t>商标权</w:t>
            </w:r>
            <w:r>
              <w:rPr>
                <w:rStyle w:val="24"/>
                <w:lang w:bidi="ar"/>
              </w:rPr>
              <w:t></w:t>
            </w:r>
            <w:r>
              <w:rPr>
                <w:rStyle w:val="25"/>
                <w:rFonts w:hint="default"/>
                <w:lang w:bidi="ar"/>
              </w:rPr>
              <w:sym w:font="Wingdings 2" w:char="0052"/>
            </w:r>
            <w:r>
              <w:rPr>
                <w:rStyle w:val="23"/>
                <w:rFonts w:hint="default"/>
                <w:lang w:bidi="ar"/>
              </w:rPr>
              <w:t>外观设计</w:t>
            </w:r>
            <w:r>
              <w:rPr>
                <w:rStyle w:val="24"/>
                <w:lang w:bidi="ar"/>
              </w:rPr>
              <w:t></w:t>
            </w:r>
            <w:r>
              <w:rPr>
                <w:rStyle w:val="25"/>
                <w:rFonts w:hint="default"/>
                <w:lang w:bidi="ar"/>
              </w:rPr>
              <w:sym w:font="Wingdings 2" w:char="0052"/>
            </w:r>
            <w:r>
              <w:rPr>
                <w:rStyle w:val="23"/>
                <w:rFonts w:hint="default"/>
                <w:lang w:bidi="ar"/>
              </w:rPr>
              <w:t xml:space="preserve">新技术   </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项目所处阶段</w:t>
            </w:r>
          </w:p>
        </w:tc>
        <w:tc>
          <w:tcPr>
            <w:tcW w:w="845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Wingdings" w:hAnsi="Wingdings" w:cs="Wingdings"/>
                <w:color w:val="000000"/>
                <w:sz w:val="24"/>
                <w:szCs w:val="24"/>
              </w:rPr>
            </w:pPr>
            <w:r>
              <w:rPr>
                <w:rFonts w:hint="default" w:ascii="Wingdings" w:hAnsi="Wingdings" w:cs="Wingdings"/>
                <w:color w:val="000000"/>
                <w:kern w:val="0"/>
                <w:sz w:val="24"/>
                <w:szCs w:val="24"/>
                <w:lang w:bidi="ar"/>
              </w:rPr>
              <w:t></w:t>
            </w:r>
            <w:r>
              <w:rPr>
                <w:rStyle w:val="23"/>
                <w:rFonts w:hint="default"/>
                <w:lang w:bidi="ar"/>
              </w:rPr>
              <w:t xml:space="preserve">种子期      </w:t>
            </w:r>
            <w:r>
              <w:rPr>
                <w:rStyle w:val="24"/>
                <w:lang w:bidi="ar"/>
              </w:rPr>
              <w:t></w:t>
            </w:r>
            <w:r>
              <w:rPr>
                <w:rStyle w:val="23"/>
                <w:rFonts w:hint="default"/>
                <w:lang w:bidi="ar"/>
              </w:rPr>
              <w:t xml:space="preserve">成长期     </w:t>
            </w:r>
            <w:r>
              <w:rPr>
                <w:rStyle w:val="24"/>
                <w:lang w:bidi="ar"/>
              </w:rPr>
              <w:t></w:t>
            </w:r>
            <w:r>
              <w:rPr>
                <w:rStyle w:val="23"/>
                <w:rFonts w:hint="default"/>
                <w:lang w:bidi="ar"/>
              </w:rPr>
              <w:t xml:space="preserve">成熟期   </w:t>
            </w:r>
            <w:r>
              <w:rPr>
                <w:rStyle w:val="24"/>
                <w:lang w:bidi="ar"/>
              </w:rPr>
              <w:sym w:font="Wingdings" w:char="00FE"/>
            </w:r>
            <w:r>
              <w:rPr>
                <w:rStyle w:val="23"/>
                <w:rFonts w:hint="default"/>
                <w:lang w:bidi="ar"/>
              </w:rPr>
              <w:t>Pre-IPO</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本次融资轮次</w:t>
            </w:r>
          </w:p>
        </w:tc>
        <w:tc>
          <w:tcPr>
            <w:tcW w:w="845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Wingdings" w:hAnsi="Wingdings" w:cs="Wingdings"/>
                <w:color w:val="000000"/>
                <w:sz w:val="24"/>
                <w:szCs w:val="24"/>
              </w:rPr>
            </w:pPr>
            <w:r>
              <w:rPr>
                <w:rFonts w:hint="default" w:ascii="Wingdings" w:hAnsi="Wingdings" w:cs="Wingdings"/>
                <w:color w:val="000000"/>
                <w:kern w:val="0"/>
                <w:sz w:val="24"/>
                <w:szCs w:val="24"/>
                <w:lang w:bidi="ar"/>
              </w:rPr>
              <w:t></w:t>
            </w:r>
            <w:r>
              <w:rPr>
                <w:rStyle w:val="23"/>
                <w:rFonts w:hint="default"/>
                <w:lang w:bidi="ar"/>
              </w:rPr>
              <w:t xml:space="preserve">天使   </w:t>
            </w:r>
            <w:r>
              <w:rPr>
                <w:rStyle w:val="24"/>
                <w:lang w:bidi="ar"/>
              </w:rPr>
              <w:t></w:t>
            </w:r>
            <w:r>
              <w:rPr>
                <w:rStyle w:val="23"/>
                <w:rFonts w:hint="default"/>
                <w:lang w:bidi="ar"/>
              </w:rPr>
              <w:t xml:space="preserve">Pre-A   </w:t>
            </w:r>
            <w:r>
              <w:rPr>
                <w:rStyle w:val="24"/>
                <w:lang w:bidi="ar"/>
              </w:rPr>
              <w:sym w:font="Wingdings" w:char="00FE"/>
            </w:r>
            <w:r>
              <w:rPr>
                <w:rStyle w:val="23"/>
                <w:rFonts w:hint="default"/>
                <w:lang w:bidi="ar"/>
              </w:rPr>
              <w:t xml:space="preserve">A轮   </w:t>
            </w:r>
            <w:r>
              <w:rPr>
                <w:rStyle w:val="24"/>
                <w:lang w:bidi="ar"/>
              </w:rPr>
              <w:t></w:t>
            </w:r>
            <w:r>
              <w:rPr>
                <w:rStyle w:val="23"/>
                <w:rFonts w:hint="default"/>
                <w:lang w:bidi="ar"/>
              </w:rPr>
              <w:t xml:space="preserve">B轮  </w:t>
            </w:r>
            <w:r>
              <w:rPr>
                <w:rStyle w:val="24"/>
                <w:lang w:bidi="ar"/>
              </w:rPr>
              <w:t></w:t>
            </w:r>
            <w:r>
              <w:rPr>
                <w:rStyle w:val="23"/>
                <w:rFonts w:hint="default"/>
                <w:lang w:bidi="ar"/>
              </w:rPr>
              <w:t xml:space="preserve">C轮及以上   </w:t>
            </w:r>
          </w:p>
        </w:tc>
      </w:tr>
      <w:tr>
        <w:tblPrEx>
          <w:tblCellMar>
            <w:top w:w="0" w:type="dxa"/>
            <w:left w:w="108" w:type="dxa"/>
            <w:bottom w:w="0" w:type="dxa"/>
            <w:right w:w="108" w:type="dxa"/>
          </w:tblCellMar>
        </w:tblPrEx>
        <w:trPr>
          <w:trHeight w:val="740" w:hRule="atLeast"/>
        </w:trPr>
        <w:tc>
          <w:tcPr>
            <w:tcW w:w="229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推广诉求（根据自身情况勾选，可多选）</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sym w:font="Wingdings 2" w:char="0052"/>
            </w:r>
          </w:p>
        </w:tc>
        <w:tc>
          <w:tcPr>
            <w:tcW w:w="4540"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融资需求（融资需求请详细填写以下涉及融资的问题）</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公司是科创类企业，上市意向是北交所或科创板，公司计划在上市之前实现1-2轮得融资，目前正在寻找战略投资人。</w:t>
            </w:r>
          </w:p>
        </w:tc>
      </w:tr>
      <w:tr>
        <w:tblPrEx>
          <w:tblCellMar>
            <w:top w:w="0" w:type="dxa"/>
            <w:left w:w="108" w:type="dxa"/>
            <w:bottom w:w="0" w:type="dxa"/>
            <w:right w:w="108" w:type="dxa"/>
          </w:tblCellMar>
        </w:tblPrEx>
        <w:trPr>
          <w:trHeight w:val="72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sz w:val="24"/>
                <w:szCs w:val="24"/>
              </w:rPr>
            </w:pP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w:t>
            </w:r>
          </w:p>
        </w:tc>
        <w:tc>
          <w:tcPr>
            <w:tcW w:w="4540"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落地需求（意向区域：</w:t>
            </w:r>
            <w:r>
              <w:rPr>
                <w:rStyle w:val="27"/>
                <w:rFonts w:hint="default"/>
                <w:lang w:bidi="ar"/>
              </w:rPr>
              <w:t xml:space="preserve">                   </w:t>
            </w:r>
            <w:r>
              <w:rPr>
                <w:rStyle w:val="23"/>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cs="宋体"/>
                <w:color w:val="000000"/>
                <w:sz w:val="24"/>
                <w:szCs w:val="24"/>
              </w:rPr>
            </w:pPr>
          </w:p>
        </w:tc>
      </w:tr>
      <w:tr>
        <w:tblPrEx>
          <w:tblCellMar>
            <w:top w:w="0" w:type="dxa"/>
            <w:left w:w="108" w:type="dxa"/>
            <w:bottom w:w="0" w:type="dxa"/>
            <w:right w:w="108" w:type="dxa"/>
          </w:tblCellMar>
        </w:tblPrEx>
        <w:trPr>
          <w:trHeight w:val="78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w:t>
            </w:r>
          </w:p>
        </w:tc>
        <w:tc>
          <w:tcPr>
            <w:tcW w:w="24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应用场景需求（意向的行业或企业：</w:t>
            </w:r>
            <w:r>
              <w:rPr>
                <w:rStyle w:val="27"/>
                <w:rFonts w:hint="default"/>
                <w:lang w:bidi="ar"/>
              </w:rPr>
              <w:t xml:space="preserve">                   </w:t>
            </w:r>
            <w:r>
              <w:rPr>
                <w:rStyle w:val="23"/>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cs="宋体"/>
                <w:color w:val="000000"/>
                <w:sz w:val="24"/>
                <w:szCs w:val="24"/>
              </w:rPr>
            </w:pPr>
          </w:p>
        </w:tc>
      </w:tr>
      <w:tr>
        <w:tblPrEx>
          <w:tblCellMar>
            <w:top w:w="0" w:type="dxa"/>
            <w:left w:w="108" w:type="dxa"/>
            <w:bottom w:w="0" w:type="dxa"/>
            <w:right w:w="108" w:type="dxa"/>
          </w:tblCellMar>
        </w:tblPrEx>
        <w:trPr>
          <w:trHeight w:val="76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w:t>
            </w:r>
          </w:p>
        </w:tc>
        <w:tc>
          <w:tcPr>
            <w:tcW w:w="24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其他（请根据情况填写：</w:t>
            </w:r>
            <w:r>
              <w:rPr>
                <w:rStyle w:val="27"/>
                <w:rFonts w:hint="default"/>
                <w:lang w:bidi="ar"/>
              </w:rPr>
              <w:t xml:space="preserve">                        </w:t>
            </w:r>
            <w:r>
              <w:rPr>
                <w:rStyle w:val="23"/>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cs="宋体"/>
                <w:color w:val="000000"/>
                <w:sz w:val="24"/>
                <w:szCs w:val="24"/>
              </w:rPr>
            </w:pPr>
          </w:p>
        </w:tc>
      </w:tr>
      <w:tr>
        <w:tblPrEx>
          <w:tblCellMar>
            <w:top w:w="0" w:type="dxa"/>
            <w:left w:w="108" w:type="dxa"/>
            <w:bottom w:w="0" w:type="dxa"/>
            <w:right w:w="108" w:type="dxa"/>
          </w:tblCellMar>
        </w:tblPrEx>
        <w:trPr>
          <w:trHeight w:val="22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企业简介和项目</w:t>
            </w:r>
          </w:p>
        </w:tc>
        <w:tc>
          <w:tcPr>
            <w:tcW w:w="8455" w:type="dxa"/>
            <w:gridSpan w:val="6"/>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一、企业简介</w:t>
            </w:r>
            <w:r>
              <w:rPr>
                <w:rFonts w:hint="eastAsia" w:ascii="宋体" w:hAnsi="宋体" w:eastAsia="宋体" w:cs="宋体"/>
                <w:color w:val="000000"/>
                <w:kern w:val="0"/>
                <w:sz w:val="24"/>
                <w:szCs w:val="24"/>
                <w:lang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上海智能交通有限公司是隧道股份</w:t>
            </w:r>
            <w:r>
              <w:rPr>
                <w:rFonts w:hint="eastAsia" w:ascii="宋体" w:hAnsi="宋体" w:eastAsia="宋体" w:cs="宋体"/>
                <w:color w:val="000000"/>
                <w:kern w:val="0"/>
                <w:sz w:val="24"/>
                <w:szCs w:val="24"/>
                <w:lang w:val="en-US" w:eastAsia="zh-CN" w:bidi="ar"/>
              </w:rPr>
              <w:t>数字</w:t>
            </w:r>
            <w:r>
              <w:rPr>
                <w:rFonts w:hint="eastAsia" w:ascii="宋体" w:hAnsi="宋体" w:eastAsia="宋体" w:cs="宋体"/>
                <w:color w:val="000000"/>
                <w:kern w:val="0"/>
                <w:sz w:val="24"/>
                <w:szCs w:val="24"/>
                <w:lang w:bidi="ar"/>
              </w:rPr>
              <w:t>集团旗下大型国资控股公司，专注提供智能交通整体解决方案和综合服务，致力于成为中国智能交通产业的领军企业。公司主营业务涵盖城市“交通基础设施智能化建设及运营”及“城市交通智能化管理”两大板块，在智能交通规划咨询、软件平台建设、信息系统集成和创新产品研发等领域具备较强的经验和能力。现已是国家级专精特新小巨人企业、高新技术企业，分别在地市级以及全国范围的评比中斩获诸多荣誉奖项，包括上海市科技进步奖一等奖、中国产学研创新成果二等奖、第四届“绽放杯”5G应用征集大赛行业虚拟专网专题赛优秀奖、上海市交通工程学会二等奖、上海城市数字化转型“智慧工匠”评选总决赛二等奖等，获得社会各界的高度认可。</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项目简介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sz w:val="24"/>
                <w:szCs w:val="24"/>
                <w:lang w:val="en-US"/>
              </w:rPr>
              <w:t>.</w:t>
            </w:r>
            <w:r>
              <w:rPr>
                <w:rFonts w:hint="eastAsia" w:ascii="宋体" w:hAnsi="宋体" w:eastAsia="宋体" w:cs="宋体"/>
                <w:kern w:val="2"/>
                <w:sz w:val="24"/>
                <w:szCs w:val="24"/>
                <w:lang w:val="en-US" w:eastAsia="zh-CN" w:bidi="ar"/>
              </w:rPr>
              <w:t>软件和集成电路发展专项</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360" w:lineRule="auto"/>
              <w:ind w:left="0" w:right="0" w:firstLine="480" w:firstLineChars="2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2020年申报上海市软件和集成电路发展专项。项目围绕道路健康及路侧设施快速巡检展开，研究基于轻量化复合传感器及人工智能算法的道路设施健康快速巡检系统，实现路面裂缝、坑槽、网状裂缝等病害以及路侧标志标牌的识别及准确定位，降低路面健康巡检对设备的高精尖要求，减轻人工巡检的工作量。</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360" w:lineRule="auto"/>
              <w:ind w:left="0" w:right="0" w:firstLine="480" w:firstLineChars="2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2.第十届花卉博览会智慧交通系统</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360" w:lineRule="auto"/>
              <w:ind w:left="0" w:right="0" w:firstLine="480" w:firstLineChars="200"/>
              <w:jc w:val="both"/>
              <w:rPr>
                <w:rFonts w:hint="eastAsia" w:ascii="宋体" w:hAnsi="宋体" w:eastAsia="宋体" w:cs="宋体"/>
                <w:szCs w:val="24"/>
                <w:lang w:eastAsia="zh-CN"/>
              </w:rPr>
            </w:pPr>
            <w:r>
              <w:rPr>
                <w:rFonts w:hint="eastAsia" w:ascii="宋体" w:hAnsi="宋体" w:eastAsia="宋体" w:cs="宋体"/>
                <w:szCs w:val="24"/>
                <w:lang w:val="en-US"/>
              </w:rPr>
              <w:t>2020</w:t>
            </w:r>
            <w:r>
              <w:rPr>
                <w:rFonts w:hint="eastAsia" w:ascii="宋体" w:hAnsi="宋体" w:eastAsia="宋体" w:cs="宋体"/>
                <w:szCs w:val="24"/>
                <w:lang w:eastAsia="zh-CN"/>
              </w:rPr>
              <w:t>年，第十届花卉博览会在上海筹办，公司打造的花博会智慧交通系统是本次花博会最先面对参观者的业务。对目标人群提供花博会的相关信息，建设完成崇明花博会园区周边区域智慧交通系统，提升花博会期间崇明岛交通管理能力和提升公众服务水平。</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360" w:lineRule="auto"/>
              <w:ind w:left="0" w:right="0" w:firstLine="480" w:firstLineChars="200"/>
              <w:jc w:val="both"/>
              <w:rPr>
                <w:rFonts w:hint="eastAsia" w:ascii="宋体" w:hAnsi="宋体" w:eastAsia="宋体" w:cs="宋体"/>
                <w:szCs w:val="24"/>
                <w:lang w:eastAsia="zh-CN"/>
              </w:rPr>
            </w:pPr>
            <w:r>
              <w:rPr>
                <w:rFonts w:hint="eastAsia" w:ascii="宋体" w:hAnsi="宋体" w:eastAsia="宋体" w:cs="宋体"/>
                <w:szCs w:val="24"/>
                <w:lang w:eastAsia="zh-CN"/>
              </w:rPr>
              <w:t>3.上海停车app设计建设</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outlineLvl w:val="0"/>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上海停车APP依托数字化技术手段，挖掘停车潜能，整合各类资源，切实提升群众交通出行的便利度、满意度、体验感。公司参与该项目的开发、测试、部署、设计工作，并在使用过程中针对客户反馈的问题进行修改以及线上app运行保障，用数字化转型赋能民心工程，为上海全面推进城市数字化转型、建成具有世界影响力的国际数字之都贡献一份力量。</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4.佛山一环智能交通系统升级改造项目</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该项目基于对交通容量、交通需求、交通状态等的分析建模，实现对交通路网全时、全域、全量的分析计算，以数据可视化的方式对交通流、个体车辆、事件事故、设备故障进行在线精准复刻还原，实现重点车辆实时监管、交通运行管理优化、事件警情智慧管控、故障异常监测分析等核心功能，对影响佛山一环交通的各个重要因素进行实时监控及深入分析，为宏中微观交通管理决策提供有效分析支撑。</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12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5.嘉定智能网联车路协同“双智项目”</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outlineLvl w:val="0"/>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车路协同应用环境设计建设项目：在建设区域208个路口及3个路段建设智能感知系统及其配套的各类基础设施，实现对开放测试道路测试车辆行驶状态、轨迹的全覆盖，实现端感知、网连接、智计算、全数据，构建智慧城市运行生命体征指标体系。</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outlineLvl w:val="0"/>
              <w:rPr>
                <w:rFonts w:hint="eastAsia" w:ascii="宋体" w:hAnsi="宋体" w:eastAsia="宋体" w:cs="Times New Roman"/>
                <w:kern w:val="2"/>
                <w:sz w:val="24"/>
                <w:szCs w:val="24"/>
                <w:lang w:val="en-US" w:eastAsia="zh-CN" w:bidi="ar"/>
              </w:rPr>
            </w:pPr>
            <w:r>
              <w:rPr>
                <w:rFonts w:hint="eastAsia" w:ascii="宋体" w:hAnsi="宋体" w:eastAsia="宋体" w:cs="宋体"/>
                <w:kern w:val="2"/>
                <w:sz w:val="24"/>
                <w:szCs w:val="24"/>
                <w:lang w:val="en-US" w:eastAsia="zh-CN" w:bidi="ar"/>
              </w:rPr>
              <w:t>全息路口车路协同应用及测评系统设计建设项目：该项目的建成，将加快建设完善的智能网联汽车车路协同环境，推动智能网联汽车商业化运</w:t>
            </w:r>
            <w:r>
              <w:rPr>
                <w:rFonts w:hint="eastAsia" w:ascii="宋体" w:hAnsi="宋体" w:eastAsia="宋体" w:cs="Times New Roman"/>
                <w:kern w:val="2"/>
                <w:sz w:val="24"/>
                <w:szCs w:val="24"/>
                <w:lang w:val="en-US" w:eastAsia="zh-CN" w:bidi="ar"/>
              </w:rPr>
              <w:t>营。</w:t>
            </w:r>
          </w:p>
          <w:p>
            <w:pPr>
              <w:keepNext w:val="0"/>
              <w:keepLines w:val="0"/>
              <w:widowControl/>
              <w:suppressLineNumbers w:val="0"/>
              <w:spacing w:before="0" w:beforeAutospacing="0" w:after="0" w:afterAutospacing="0"/>
              <w:ind w:left="0" w:right="0"/>
              <w:jc w:val="left"/>
              <w:rPr>
                <w:rFonts w:hint="eastAsia" w:ascii="宋体" w:hAnsi="宋体" w:eastAsia="宋体" w:cs="Times New Roman"/>
                <w:kern w:val="2"/>
                <w:sz w:val="24"/>
                <w:szCs w:val="24"/>
                <w:lang w:val="en-US" w:eastAsia="zh-CN" w:bidi="ar"/>
              </w:rPr>
            </w:pPr>
          </w:p>
        </w:tc>
      </w:tr>
      <w:tr>
        <w:tblPrEx>
          <w:tblCellMar>
            <w:top w:w="0" w:type="dxa"/>
            <w:left w:w="108" w:type="dxa"/>
            <w:bottom w:w="0" w:type="dxa"/>
            <w:right w:w="108" w:type="dxa"/>
          </w:tblCellMar>
        </w:tblPrEx>
        <w:trPr>
          <w:trHeight w:val="1892"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主要产品与服务</w:t>
            </w:r>
          </w:p>
        </w:tc>
        <w:tc>
          <w:tcPr>
            <w:tcW w:w="8455" w:type="dxa"/>
            <w:gridSpan w:val="6"/>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公司打造城市建设符合国家“新基建”要求的智慧公路、智慧快速路、智慧隧道、智慧管廊等配套的新型基础设施，并提供与之相配套的综合管理平台。同时，借助公司在智能交通规划咨询、软件平台建设、信息系统集成和创新产品研发等领域的经验和能力。以“综合解决方案+自主软硬件产品”为抓手，在智慧交通、智能网联、智能停车和道路健康智慧检测等领域为城市管理部门提供专业的综合解决方案和产品服务，通过数字化手段，为实现精细管理、精准决策、有效治堵提供科学支撑。同时，提高资源利用率，减少碳排放，促进绿色出行，保障民众安全高效通行。公司在城市和农村的产业化推广的过程中，促进了城市数字化转型深入发展，助力建设四好农村公路，节约了成本，增强市场竞争力，取得了非常显著的经济效益和社会效益，对行业的技术进步和产业结构优化升级作用显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宋体" w:hAnsi="宋体" w:cs="宋体"/>
                <w:color w:val="000000"/>
                <w:sz w:val="24"/>
                <w:szCs w:val="24"/>
              </w:rPr>
            </w:pPr>
            <w:r>
              <w:rPr>
                <w:rFonts w:hint="eastAsia" w:ascii="宋体" w:hAnsi="宋体" w:eastAsia="宋体" w:cs="Times New Roman"/>
                <w:kern w:val="2"/>
                <w:sz w:val="24"/>
                <w:szCs w:val="24"/>
                <w:lang w:val="en-US" w:eastAsia="zh-CN" w:bidi="ar"/>
              </w:rPr>
              <w:t>我司已为本市大部分市管公路和城市快速路建立了城市道路智能监测系统；在本市大连路隧道部署了全寿命运营监管平台，提供综合监控及智慧管养解决方案，支持交通保障服务；在本市徐汇区全、闵行区面实现智慧停车，提供道路停车、场库停车、综合停车管理平台等服务，包括场库级、区域级停车平台，基于高位视频的道路智能停车管理系统，城市级面向市民的停车app等业务，实现无感支付、无人值守、错峰共享、车位预约、一体化导航等功能，提升市民的停车体验感，增加政府停车管理的效能；第十届花博会期间，公司建立了花博会智慧交通系统，做好交通保障工作；所研发的基于道路健康智能检测功能的“路测宝”产品属于业内重大创新，荣获上海市科学技术进步一等奖；“城市交通基础设施智能化”类产品在天津市属首创；“智能隧道综合监管平台”类产品在重庆、海口等多地市场占有率高达100%；成功完成了四川自贡智慧水务一期工程，实现对自贡市河道、水系的实时在线管理、水质监测智能化管理。</w:t>
            </w:r>
          </w:p>
        </w:tc>
      </w:tr>
      <w:tr>
        <w:tblPrEx>
          <w:tblCellMar>
            <w:top w:w="0" w:type="dxa"/>
            <w:left w:w="108" w:type="dxa"/>
            <w:bottom w:w="0" w:type="dxa"/>
            <w:right w:w="108" w:type="dxa"/>
          </w:tblCellMar>
        </w:tblPrEx>
        <w:trPr>
          <w:trHeight w:val="2026"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主要管理团队</w:t>
            </w:r>
          </w:p>
        </w:tc>
        <w:tc>
          <w:tcPr>
            <w:tcW w:w="8455" w:type="dxa"/>
            <w:gridSpan w:val="6"/>
            <w:tcBorders>
              <w:top w:val="nil"/>
              <w:left w:val="nil"/>
              <w:bottom w:val="single" w:color="000000" w:sz="8" w:space="0"/>
              <w:right w:val="single" w:color="000000" w:sz="8" w:space="0"/>
            </w:tcBorders>
            <w:shd w:val="clear" w:color="auto" w:fill="auto"/>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top"/>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常光照</w:t>
            </w:r>
          </w:p>
          <w:p>
            <w:pPr>
              <w:keepNext w:val="0"/>
              <w:keepLines w:val="0"/>
              <w:pageBreakBefore w:val="0"/>
              <w:widowControl/>
              <w:suppressLineNumbers w:val="0"/>
              <w:kinsoku/>
              <w:wordWrap/>
              <w:overflowPunct/>
              <w:topLinePunct w:val="0"/>
              <w:autoSpaceDE/>
              <w:autoSpaceDN/>
              <w:bidi w:val="0"/>
              <w:adjustRightInd/>
              <w:snapToGrid/>
              <w:spacing w:before="60" w:beforeAutospacing="0" w:after="0" w:afterAutospacing="0" w:line="360" w:lineRule="auto"/>
              <w:ind w:left="0" w:right="0" w:firstLine="480" w:firstLineChars="200"/>
              <w:jc w:val="left"/>
              <w:textAlignment w:val="baseline"/>
              <w:rPr>
                <w:rFonts w:hint="eastAsia" w:ascii="宋体" w:hAnsi="宋体" w:eastAsia="宋体" w:cs="宋体"/>
                <w:b/>
                <w:bCs/>
                <w:color w:val="3B3838"/>
                <w:kern w:val="24"/>
                <w:sz w:val="24"/>
                <w:szCs w:val="24"/>
                <w:vertAlign w:val="baseline"/>
                <w:lang w:val="en-US" w:eastAsia="zh-CN" w:bidi="ar"/>
              </w:rPr>
            </w:pPr>
            <w:r>
              <w:rPr>
                <w:rFonts w:hint="eastAsia" w:ascii="宋体" w:hAnsi="宋体" w:eastAsia="宋体" w:cs="宋体"/>
                <w:sz w:val="24"/>
                <w:szCs w:val="24"/>
                <w:lang w:val="en-US" w:eastAsia="zh-CN" w:bidi="ar"/>
              </w:rPr>
              <w:t>上海智能交通有限</w:t>
            </w:r>
            <w:r>
              <w:rPr>
                <w:rFonts w:hint="eastAsia" w:ascii="宋体" w:hAnsi="宋体" w:eastAsia="宋体" w:cs="宋体"/>
                <w:kern w:val="2"/>
                <w:sz w:val="24"/>
                <w:szCs w:val="24"/>
                <w:lang w:val="en-US" w:eastAsia="zh-CN" w:bidi="ar"/>
              </w:rPr>
              <w:t>公司总经理，教授级高工、同济大学工学硕士、中欧国际工商学院EMBA，荣获上海市科技进步奖一等奖、二等奖、中国公路学会科技进步一等奖、中国产学研合作创新二等奖等多个奖项。常光照同志自2017年带领团队创立上海智能交通有限公司以来，深入研究智能交通行业的发展动态，依托自身资源和对行业的前端趋势的理解，创新地提出了符合智能交通公司自身特点的发展思路和产品布局。目前，常光照同志带头形成的城市交通智能化管理系列专项方案已经在全国各地得到了应用，在交通基础设施智能化管理领域，智能交通公司也形成了智慧快速路、智慧高速、智慧隧道等一系列的完整解决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top"/>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2.单惟乐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top"/>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bidi="ar"/>
              </w:rPr>
              <w:t>单惟乐,汉族，南加州大学法学硕士，上海智能交通有限公司</w:t>
            </w:r>
            <w:r>
              <w:rPr>
                <w:rFonts w:hint="eastAsia" w:ascii="宋体" w:hAnsi="宋体" w:eastAsia="宋体" w:cs="宋体"/>
                <w:kern w:val="2"/>
                <w:sz w:val="24"/>
                <w:szCs w:val="24"/>
                <w:lang w:val="en-US" w:eastAsia="zh-CN" w:bidi="ar"/>
              </w:rPr>
              <w:t>设计创新</w:t>
            </w:r>
            <w:r>
              <w:rPr>
                <w:rFonts w:hint="eastAsia" w:ascii="宋体" w:hAnsi="宋体" w:eastAsia="宋体" w:cs="宋体"/>
                <w:sz w:val="24"/>
                <w:szCs w:val="24"/>
                <w:lang w:val="en-US" w:eastAsia="zh-CN" w:bidi="ar"/>
              </w:rPr>
              <w:t>中心主任。2015年取得USC法硕后在美国硅谷孵化器学习创新孵化经验。2017年回国参与公司筹建全过程并请缨承担科创管理工作，从科创挖掘、材料提炼、成果转化、项目验收到推广宣传，建设完善公司科创体系，挖掘了 “路测宝”等创新技术，实现成果转化。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420" w:leftChars="200" w:right="0"/>
              <w:textAlignment w:val="top"/>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汪志涛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bidi="ar"/>
              </w:rPr>
              <w:t>汪志涛长期从事智能交通、智能网联的产品与解决方案设计开发工作，具有丰富的产品开发经验。</w:t>
            </w:r>
            <w:r>
              <w:rPr>
                <w:rFonts w:hint="eastAsia" w:ascii="宋体" w:hAnsi="宋体" w:eastAsia="宋体" w:cs="宋体"/>
                <w:kern w:val="0"/>
                <w:sz w:val="24"/>
                <w:szCs w:val="24"/>
                <w:lang w:val="en-US" w:eastAsia="zh-CN" w:bidi="ar"/>
              </w:rPr>
              <w:t>曾获得青岛市科技进步一等奖、“青岛市十大杰出青年”提名奖、吉林省科技进步一等奖、山东省计算机科技成果二等奖，获发明专利3项，实用新型专利15项，软件著作权15项。</w:t>
            </w:r>
            <w:r>
              <w:rPr>
                <w:rFonts w:hint="eastAsia" w:ascii="宋体" w:hAnsi="宋体" w:eastAsia="宋体" w:cs="宋体"/>
                <w:kern w:val="2"/>
                <w:sz w:val="24"/>
                <w:szCs w:val="24"/>
                <w:lang w:val="en-US" w:eastAsia="zh-CN" w:bidi="ar"/>
              </w:rPr>
              <w:t>加入上海智能交通有限公司后专注于路侧智能全系感知设备的研究开发。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420" w:leftChars="200" w:right="0"/>
              <w:textAlignment w:val="top"/>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吴俊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eastAsia" w:ascii="黑体" w:hAnsi="宋体" w:eastAsia="宋体" w:cs="黑体"/>
                <w:kern w:val="0"/>
                <w:sz w:val="24"/>
                <w:szCs w:val="24"/>
                <w:lang w:val="en-US"/>
              </w:rPr>
            </w:pPr>
            <w:r>
              <w:rPr>
                <w:rFonts w:hint="eastAsia" w:ascii="宋体" w:hAnsi="宋体" w:eastAsia="宋体" w:cs="宋体"/>
                <w:kern w:val="0"/>
                <w:sz w:val="24"/>
                <w:szCs w:val="24"/>
                <w:lang w:val="en-US" w:eastAsia="zh-CN" w:bidi="ar"/>
              </w:rPr>
              <w:t>专注于智能交通规划领域，18 年设计规划经验及13 年管理层经验，先后涉及公安、民防、交通、公共安全等多领域，业内人脉丰富；获得"上海市青年岗位能手"和中共上海市委及市政府颁发的"上海世博工作优秀个人"的荣誉；凭借“上海世博智能交通系统关键技术及应用”项目，获得了上海市科学技术进步奖个人一等奖</w:t>
            </w:r>
            <w:r>
              <w:rPr>
                <w:rFonts w:hint="eastAsia" w:ascii="宋体" w:hAnsi="宋体" w:cs="宋体"/>
                <w:kern w:val="0"/>
                <w:sz w:val="24"/>
                <w:szCs w:val="24"/>
                <w:lang w:val="en-US" w:eastAsia="zh-CN" w:bidi="ar"/>
              </w:rPr>
              <w:t>。</w:t>
            </w:r>
          </w:p>
          <w:p>
            <w:pPr>
              <w:keepNext w:val="0"/>
              <w:keepLines w:val="0"/>
              <w:widowControl/>
              <w:numPr>
                <w:ilvl w:val="0"/>
                <w:numId w:val="0"/>
              </w:numPr>
              <w:suppressLineNumbers w:val="0"/>
              <w:spacing w:before="0" w:beforeAutospacing="0" w:after="0" w:afterAutospacing="0"/>
              <w:ind w:left="0" w:leftChars="0" w:right="0"/>
              <w:textAlignment w:val="top"/>
              <w:rPr>
                <w:rFonts w:hint="default" w:ascii="宋体" w:hAnsi="宋体" w:cs="宋体"/>
                <w:color w:val="000000"/>
                <w:sz w:val="24"/>
                <w:szCs w:val="24"/>
                <w:lang w:val="en-US" w:eastAsia="zh-CN"/>
              </w:rPr>
            </w:pPr>
          </w:p>
        </w:tc>
      </w:tr>
      <w:tr>
        <w:tblPrEx>
          <w:tblCellMar>
            <w:top w:w="0" w:type="dxa"/>
            <w:left w:w="108" w:type="dxa"/>
            <w:bottom w:w="0" w:type="dxa"/>
            <w:right w:w="108" w:type="dxa"/>
          </w:tblCellMar>
        </w:tblPrEx>
        <w:trPr>
          <w:trHeight w:val="2039"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公司发展预测</w:t>
            </w:r>
          </w:p>
        </w:tc>
        <w:tc>
          <w:tcPr>
            <w:tcW w:w="8455" w:type="dxa"/>
            <w:gridSpan w:val="6"/>
            <w:tcBorders>
              <w:top w:val="nil"/>
              <w:left w:val="nil"/>
              <w:bottom w:val="nil"/>
              <w:right w:val="single" w:color="000000" w:sz="8" w:space="0"/>
            </w:tcBorders>
            <w:shd w:val="clear" w:color="auto" w:fill="auto"/>
          </w:tcPr>
          <w:p>
            <w:pPr>
              <w:keepNext w:val="0"/>
              <w:keepLines w:val="0"/>
              <w:widowControl w:val="0"/>
              <w:suppressLineNumbers w:val="0"/>
              <w:spacing w:before="0" w:beforeAutospacing="0" w:after="0" w:afterAutospacing="0" w:line="360" w:lineRule="auto"/>
              <w:ind w:left="0" w:right="0"/>
              <w:jc w:val="both"/>
              <w:rPr>
                <w:rFonts w:hint="default"/>
                <w:sz w:val="24"/>
                <w:szCs w:val="24"/>
                <w:lang w:val="en-US"/>
              </w:rPr>
            </w:pPr>
            <w:r>
              <w:rPr>
                <w:rFonts w:hint="eastAsia" w:ascii="Calibri" w:hAnsi="Calibri" w:eastAsia="宋体" w:cs="宋体"/>
                <w:kern w:val="2"/>
                <w:sz w:val="24"/>
                <w:szCs w:val="24"/>
                <w:lang w:val="en-US" w:eastAsia="zh-CN" w:bidi="ar"/>
              </w:rPr>
              <w:t>公司业务立足上海，向长三角地区辐射，面向全国，并制定了</w:t>
            </w:r>
            <w:r>
              <w:rPr>
                <w:rFonts w:hint="eastAsia" w:cs="宋体"/>
                <w:kern w:val="2"/>
                <w:sz w:val="24"/>
                <w:szCs w:val="24"/>
                <w:lang w:val="en-US" w:eastAsia="zh-CN" w:bidi="ar"/>
              </w:rPr>
              <w:t>二</w:t>
            </w:r>
            <w:r>
              <w:rPr>
                <w:rFonts w:hint="eastAsia" w:ascii="Calibri" w:hAnsi="Calibri" w:eastAsia="宋体" w:cs="宋体"/>
                <w:kern w:val="2"/>
                <w:sz w:val="24"/>
                <w:szCs w:val="24"/>
                <w:lang w:val="en-US" w:eastAsia="zh-CN" w:bidi="ar"/>
              </w:rPr>
              <w:t>阶段的发展路径，分步骤实现整体目标。</w:t>
            </w:r>
          </w:p>
          <w:p>
            <w:pPr>
              <w:pStyle w:val="7"/>
              <w:keepNext w:val="0"/>
              <w:keepLines w:val="0"/>
              <w:widowControl w:val="0"/>
              <w:numPr>
                <w:ilvl w:val="0"/>
                <w:numId w:val="3"/>
              </w:numPr>
              <w:suppressLineNumbers w:val="0"/>
              <w:spacing w:before="0" w:beforeAutospacing="0" w:after="0" w:afterAutospacing="0" w:line="360" w:lineRule="auto"/>
              <w:ind w:left="840" w:right="0" w:hanging="420"/>
              <w:jc w:val="both"/>
              <w:rPr>
                <w:rFonts w:hint="default"/>
                <w:sz w:val="24"/>
                <w:szCs w:val="24"/>
                <w:lang w:val="en-US"/>
              </w:rPr>
            </w:pPr>
            <w:r>
              <w:rPr>
                <w:rFonts w:hint="default" w:ascii="Calibri" w:hAnsi="Calibri" w:eastAsia="宋体" w:cs="Times New Roman"/>
                <w:kern w:val="2"/>
                <w:sz w:val="24"/>
                <w:szCs w:val="24"/>
                <w:lang w:val="en-US" w:eastAsia="zh-CN" w:bidi="ar"/>
              </w:rPr>
              <w:t>2023-2024</w:t>
            </w:r>
            <w:r>
              <w:rPr>
                <w:rFonts w:hint="eastAsia" w:ascii="Calibri" w:hAnsi="Calibri" w:eastAsia="宋体" w:cs="宋体"/>
                <w:kern w:val="2"/>
                <w:sz w:val="24"/>
                <w:szCs w:val="24"/>
                <w:lang w:val="en-US" w:eastAsia="zh-CN" w:bidi="ar"/>
              </w:rPr>
              <w:t>：夯实基础阶段</w:t>
            </w:r>
          </w:p>
          <w:p>
            <w:pPr>
              <w:keepNext w:val="0"/>
              <w:keepLines w:val="0"/>
              <w:widowControl w:val="0"/>
              <w:suppressLineNumbers w:val="0"/>
              <w:spacing w:before="0" w:beforeAutospacing="0" w:after="0" w:afterAutospacing="0" w:line="360" w:lineRule="auto"/>
              <w:ind w:left="0" w:right="0" w:firstLine="480" w:firstLineChars="200"/>
              <w:jc w:val="both"/>
              <w:rPr>
                <w:rFonts w:hint="default"/>
                <w:sz w:val="24"/>
                <w:szCs w:val="24"/>
                <w:lang w:val="en-US"/>
              </w:rPr>
            </w:pPr>
            <w:r>
              <w:rPr>
                <w:rFonts w:hint="eastAsia" w:ascii="Calibri" w:hAnsi="Calibri" w:eastAsia="宋体" w:cs="宋体"/>
                <w:kern w:val="2"/>
                <w:sz w:val="24"/>
                <w:szCs w:val="24"/>
                <w:lang w:val="en-US" w:eastAsia="zh-CN" w:bidi="ar"/>
              </w:rPr>
              <w:t>在业务方面，以孵化新产品和拓展更多项目为目标，通过夯实研发能力和项目管理能力，不断完善资质专利积累、打造示范和标杆样板项目；巩固上海和现有区域市场根基，同步采用合适的模式积极开拓新市场机会，并全面提升公司市场开拓能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Calibri" w:hAnsi="Calibri" w:eastAsia="宋体" w:cs="宋体"/>
                <w:kern w:val="2"/>
                <w:sz w:val="24"/>
                <w:szCs w:val="24"/>
                <w:lang w:val="en-US" w:eastAsia="zh-CN" w:bidi="ar"/>
              </w:rPr>
            </w:pPr>
            <w:r>
              <w:rPr>
                <w:rFonts w:hint="eastAsia" w:ascii="Calibri" w:hAnsi="Calibri" w:eastAsia="宋体" w:cs="宋体"/>
                <w:kern w:val="2"/>
                <w:sz w:val="24"/>
                <w:szCs w:val="24"/>
                <w:lang w:val="en-US" w:eastAsia="zh-CN" w:bidi="ar"/>
              </w:rPr>
              <w:t>在研发方面：通过对交通行业发展的重大问题研判并筛选确定研究方向，制定产业技术路线图，对领域内关键共性技术进行甄别形成研发项目，将设计研发落地应用于市场。</w:t>
            </w:r>
          </w:p>
          <w:p>
            <w:pPr>
              <w:keepNext w:val="0"/>
              <w:keepLines w:val="0"/>
              <w:widowControl w:val="0"/>
              <w:suppressLineNumbers w:val="0"/>
              <w:spacing w:before="0" w:beforeAutospacing="0" w:after="0" w:afterAutospacing="0" w:line="360" w:lineRule="auto"/>
              <w:ind w:left="0" w:right="0" w:firstLine="480" w:firstLineChars="200"/>
              <w:jc w:val="both"/>
              <w:rPr>
                <w:rFonts w:hint="default"/>
                <w:sz w:val="24"/>
                <w:szCs w:val="24"/>
                <w:lang w:val="en-US"/>
              </w:rPr>
            </w:pPr>
            <w:r>
              <w:rPr>
                <w:rFonts w:hint="eastAsia" w:ascii="Calibri" w:hAnsi="Calibri" w:eastAsia="宋体" w:cs="宋体"/>
                <w:kern w:val="2"/>
                <w:sz w:val="24"/>
                <w:szCs w:val="24"/>
                <w:lang w:val="en-US" w:eastAsia="zh-CN" w:bidi="ar"/>
              </w:rPr>
              <w:t>在资本市场方面，积极优化公司股权结构，引入外部投资人或投资机构。为公司规模的快速增加获取资金支持。此外，基于上市要求，逐步完善公司内部管理体制，尽快成立股份制改造小组，为公司上市做好准备。同时，积极参与行业重要标准和规划的制定，在行业内形成细分领域的领先优势和市场口碑。</w:t>
            </w:r>
          </w:p>
          <w:p>
            <w:pPr>
              <w:keepNext w:val="0"/>
              <w:keepLines w:val="0"/>
              <w:widowControl w:val="0"/>
              <w:suppressLineNumbers w:val="0"/>
              <w:spacing w:before="0" w:beforeAutospacing="0" w:after="0" w:afterAutospacing="0" w:line="360" w:lineRule="auto"/>
              <w:ind w:left="0" w:right="0" w:firstLine="480" w:firstLineChars="200"/>
              <w:jc w:val="both"/>
              <w:rPr>
                <w:rFonts w:hint="default"/>
                <w:sz w:val="24"/>
                <w:szCs w:val="24"/>
                <w:lang w:val="en-US"/>
              </w:rPr>
            </w:pPr>
            <w:r>
              <w:rPr>
                <w:rFonts w:hint="eastAsia" w:ascii="Calibri" w:hAnsi="Calibri" w:eastAsia="宋体" w:cs="宋体"/>
                <w:kern w:val="2"/>
                <w:sz w:val="24"/>
                <w:szCs w:val="24"/>
                <w:lang w:val="en-US" w:eastAsia="zh-CN" w:bidi="ar"/>
              </w:rPr>
              <w:t>在管理方面：公司建立了责任分明的管理体系，各部门分工明确。公司设计研发人员比例超过</w:t>
            </w:r>
            <w:r>
              <w:rPr>
                <w:rFonts w:hint="default" w:ascii="Calibri" w:hAnsi="Calibri" w:eastAsia="宋体" w:cs="Times New Roman"/>
                <w:kern w:val="2"/>
                <w:sz w:val="24"/>
                <w:szCs w:val="24"/>
                <w:lang w:val="en-US" w:eastAsia="zh-CN" w:bidi="ar"/>
              </w:rPr>
              <w:t>50%</w:t>
            </w:r>
            <w:r>
              <w:rPr>
                <w:rFonts w:hint="eastAsia" w:ascii="Calibri" w:hAnsi="Calibri" w:eastAsia="宋体" w:cs="宋体"/>
                <w:kern w:val="2"/>
                <w:sz w:val="24"/>
                <w:szCs w:val="24"/>
                <w:lang w:val="en-US" w:eastAsia="zh-CN" w:bidi="ar"/>
              </w:rPr>
              <w:t>，其中</w:t>
            </w:r>
            <w:r>
              <w:rPr>
                <w:rFonts w:hint="default" w:ascii="Calibri" w:hAnsi="Calibri" w:eastAsia="宋体" w:cs="Times New Roman"/>
                <w:kern w:val="2"/>
                <w:sz w:val="24"/>
                <w:szCs w:val="24"/>
                <w:lang w:val="en-US" w:eastAsia="zh-CN" w:bidi="ar"/>
              </w:rPr>
              <w:t>40%</w:t>
            </w:r>
            <w:r>
              <w:rPr>
                <w:rFonts w:hint="eastAsia" w:ascii="Calibri" w:hAnsi="Calibri" w:eastAsia="宋体" w:cs="宋体"/>
                <w:kern w:val="2"/>
                <w:sz w:val="24"/>
                <w:szCs w:val="24"/>
                <w:lang w:val="en-US" w:eastAsia="zh-CN" w:bidi="ar"/>
              </w:rPr>
              <w:t>以上是硕士学历，中、高级职称工程师占总人数的</w:t>
            </w:r>
            <w:r>
              <w:rPr>
                <w:rFonts w:hint="default" w:ascii="Calibri" w:hAnsi="Calibri" w:eastAsia="宋体" w:cs="Times New Roman"/>
                <w:kern w:val="2"/>
                <w:sz w:val="24"/>
                <w:szCs w:val="24"/>
                <w:lang w:val="en-US" w:eastAsia="zh-CN" w:bidi="ar"/>
              </w:rPr>
              <w:t>35%</w:t>
            </w:r>
            <w:r>
              <w:rPr>
                <w:rFonts w:hint="eastAsia" w:ascii="Calibri" w:hAnsi="Calibri" w:eastAsia="宋体" w:cs="宋体"/>
                <w:kern w:val="2"/>
                <w:sz w:val="24"/>
                <w:szCs w:val="24"/>
                <w:lang w:val="en-US" w:eastAsia="zh-CN" w:bidi="ar"/>
              </w:rPr>
              <w:t>，一级建造师占</w:t>
            </w:r>
            <w:r>
              <w:rPr>
                <w:rFonts w:hint="default" w:ascii="Calibri" w:hAnsi="Calibri" w:eastAsia="宋体" w:cs="Times New Roman"/>
                <w:kern w:val="2"/>
                <w:sz w:val="24"/>
                <w:szCs w:val="24"/>
                <w:lang w:val="en-US" w:eastAsia="zh-CN" w:bidi="ar"/>
              </w:rPr>
              <w:t>10%</w:t>
            </w:r>
            <w:r>
              <w:rPr>
                <w:rFonts w:hint="eastAsia" w:ascii="Calibri" w:hAnsi="Calibri" w:eastAsia="宋体" w:cs="宋体"/>
                <w:kern w:val="2"/>
                <w:sz w:val="24"/>
                <w:szCs w:val="24"/>
                <w:lang w:val="en-US" w:eastAsia="zh-CN" w:bidi="ar"/>
              </w:rPr>
              <w:t>，主要从事与智能相关的研究开发和实验工作。团队能根据业主的各种不同需求，为业主提供的各种不同需求，为业主提供全生命周期集成、设计、建设、运维一体化服务。</w:t>
            </w:r>
          </w:p>
          <w:p>
            <w:pPr>
              <w:pStyle w:val="7"/>
              <w:keepNext w:val="0"/>
              <w:keepLines w:val="0"/>
              <w:widowControl w:val="0"/>
              <w:numPr>
                <w:ilvl w:val="0"/>
                <w:numId w:val="3"/>
              </w:numPr>
              <w:suppressLineNumbers w:val="0"/>
              <w:spacing w:before="0" w:beforeAutospacing="0" w:after="0" w:afterAutospacing="0" w:line="360" w:lineRule="auto"/>
              <w:ind w:left="840" w:right="0" w:hanging="420"/>
              <w:jc w:val="both"/>
              <w:rPr>
                <w:rFonts w:hint="default"/>
                <w:sz w:val="24"/>
                <w:szCs w:val="24"/>
                <w:lang w:val="en-US"/>
              </w:rPr>
            </w:pPr>
            <w:r>
              <w:rPr>
                <w:rFonts w:hint="default" w:ascii="Calibri" w:hAnsi="Calibri" w:eastAsia="宋体" w:cs="Times New Roman"/>
                <w:kern w:val="2"/>
                <w:sz w:val="24"/>
                <w:szCs w:val="24"/>
                <w:lang w:val="en-US" w:eastAsia="zh-CN" w:bidi="ar"/>
              </w:rPr>
              <w:t>2024-2025</w:t>
            </w:r>
            <w:r>
              <w:rPr>
                <w:rFonts w:hint="eastAsia" w:ascii="Calibri" w:hAnsi="Calibri" w:eastAsia="宋体" w:cs="宋体"/>
                <w:kern w:val="2"/>
                <w:sz w:val="24"/>
                <w:szCs w:val="24"/>
                <w:lang w:val="en-US" w:eastAsia="zh-CN" w:bidi="ar"/>
              </w:rPr>
              <w:t>：全面发展阶段</w:t>
            </w:r>
          </w:p>
          <w:p>
            <w:pPr>
              <w:keepNext w:val="0"/>
              <w:keepLines w:val="0"/>
              <w:widowControl w:val="0"/>
              <w:suppressLineNumbers w:val="0"/>
              <w:spacing w:before="0" w:beforeAutospacing="0" w:after="0" w:afterAutospacing="0" w:line="360" w:lineRule="auto"/>
              <w:ind w:left="0" w:right="0" w:firstLine="480" w:firstLineChars="200"/>
              <w:jc w:val="both"/>
              <w:rPr>
                <w:rFonts w:hint="default"/>
                <w:sz w:val="24"/>
                <w:szCs w:val="24"/>
                <w:lang w:val="en-US"/>
              </w:rPr>
            </w:pPr>
            <w:r>
              <w:rPr>
                <w:rFonts w:hint="eastAsia" w:ascii="Calibri" w:hAnsi="Calibri" w:eastAsia="宋体" w:cs="宋体"/>
                <w:kern w:val="2"/>
                <w:sz w:val="24"/>
                <w:szCs w:val="24"/>
                <w:lang w:val="en-US" w:eastAsia="zh-CN" w:bidi="ar"/>
              </w:rPr>
              <w:t>在业务方面，力争在“新型智慧交通基础设施建设”、“面向智能网联交通的路侧智能设施”、“城市级信号配时调优平台”等细分领域达到行业领先地位。</w:t>
            </w:r>
          </w:p>
          <w:p>
            <w:pPr>
              <w:keepNext w:val="0"/>
              <w:keepLines w:val="0"/>
              <w:widowControl w:val="0"/>
              <w:suppressLineNumbers w:val="0"/>
              <w:spacing w:before="0" w:beforeAutospacing="0" w:after="0" w:afterAutospacing="0" w:line="360" w:lineRule="auto"/>
              <w:ind w:left="0" w:right="0" w:firstLine="480" w:firstLineChars="200"/>
              <w:jc w:val="both"/>
              <w:rPr>
                <w:rFonts w:hint="default"/>
                <w:sz w:val="24"/>
                <w:szCs w:val="24"/>
                <w:lang w:val="en-US"/>
              </w:rPr>
            </w:pPr>
            <w:r>
              <w:rPr>
                <w:rFonts w:hint="eastAsia" w:ascii="Calibri" w:hAnsi="Calibri" w:eastAsia="宋体" w:cs="宋体"/>
                <w:kern w:val="2"/>
                <w:sz w:val="24"/>
                <w:szCs w:val="24"/>
                <w:lang w:val="en-US" w:eastAsia="zh-CN" w:bidi="ar"/>
              </w:rPr>
              <w:t>在市场方面，形成对长三角、泛大湾区、西南区域和中部区域市场的方位布局，形成高效的市场网络和营销体系，并面向全国，大力拓展新的区域市场机会。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Calibri" w:hAnsi="Calibri" w:eastAsia="宋体" w:cs="宋体"/>
                <w:kern w:val="2"/>
                <w:sz w:val="24"/>
                <w:szCs w:val="24"/>
                <w:lang w:val="en-US" w:eastAsia="zh-CN" w:bidi="ar"/>
              </w:rPr>
            </w:pPr>
            <w:r>
              <w:rPr>
                <w:rFonts w:hint="eastAsia" w:ascii="Calibri" w:hAnsi="Calibri" w:eastAsia="宋体" w:cs="宋体"/>
                <w:kern w:val="2"/>
                <w:sz w:val="24"/>
                <w:szCs w:val="24"/>
                <w:lang w:val="en-US" w:eastAsia="zh-CN" w:bidi="ar"/>
              </w:rPr>
              <w:t>在资本市场方面，响应国家对中小企业资本化的支持，以及北交所即将正式启动运营大背景下，公司拟于</w:t>
            </w:r>
            <w:r>
              <w:rPr>
                <w:rFonts w:hint="default" w:ascii="Calibri" w:hAnsi="Calibri" w:eastAsia="宋体" w:cs="Times New Roman"/>
                <w:kern w:val="2"/>
                <w:sz w:val="24"/>
                <w:szCs w:val="24"/>
                <w:lang w:val="en-US" w:eastAsia="zh-CN" w:bidi="ar"/>
              </w:rPr>
              <w:t>2025</w:t>
            </w:r>
            <w:r>
              <w:rPr>
                <w:rFonts w:hint="eastAsia" w:ascii="Calibri" w:hAnsi="Calibri" w:eastAsia="宋体" w:cs="宋体"/>
                <w:kern w:val="2"/>
                <w:sz w:val="24"/>
                <w:szCs w:val="24"/>
                <w:lang w:val="en-US" w:eastAsia="zh-CN" w:bidi="ar"/>
              </w:rPr>
              <w:t>年启动新三板挂牌工作，利用</w:t>
            </w:r>
            <w:r>
              <w:rPr>
                <w:rFonts w:hint="default" w:ascii="Calibri" w:hAnsi="Calibri" w:eastAsia="宋体" w:cs="Times New Roman"/>
                <w:kern w:val="2"/>
                <w:sz w:val="24"/>
                <w:szCs w:val="24"/>
                <w:lang w:val="en-US" w:eastAsia="zh-CN" w:bidi="ar"/>
              </w:rPr>
              <w:t>1-2</w:t>
            </w:r>
            <w:r>
              <w:rPr>
                <w:rFonts w:hint="eastAsia" w:ascii="Calibri" w:hAnsi="Calibri" w:eastAsia="宋体" w:cs="宋体"/>
                <w:kern w:val="2"/>
                <w:sz w:val="24"/>
                <w:szCs w:val="24"/>
                <w:lang w:val="en-US" w:eastAsia="zh-CN" w:bidi="ar"/>
              </w:rPr>
              <w:t>年的时间实现创新层挂牌并申请北交所上市。在此期间，拟对外进行私募股权融资，总融资规模</w:t>
            </w:r>
            <w:r>
              <w:rPr>
                <w:rFonts w:hint="default" w:ascii="Calibri" w:hAnsi="Calibri" w:eastAsia="宋体" w:cs="Times New Roman"/>
                <w:kern w:val="2"/>
                <w:sz w:val="24"/>
                <w:szCs w:val="24"/>
                <w:lang w:val="en-US" w:eastAsia="zh-CN" w:bidi="ar"/>
              </w:rPr>
              <w:t>5000</w:t>
            </w:r>
            <w:r>
              <w:rPr>
                <w:rFonts w:hint="eastAsia" w:ascii="Calibri" w:hAnsi="Calibri" w:eastAsia="宋体" w:cs="宋体"/>
                <w:kern w:val="2"/>
                <w:sz w:val="24"/>
                <w:szCs w:val="24"/>
                <w:lang w:val="en-US" w:eastAsia="zh-CN" w:bidi="ar"/>
              </w:rPr>
              <w:t>万元至</w:t>
            </w:r>
            <w:r>
              <w:rPr>
                <w:rFonts w:hint="default" w:ascii="Calibri" w:hAnsi="Calibri" w:eastAsia="宋体" w:cs="Times New Roman"/>
                <w:kern w:val="2"/>
                <w:sz w:val="24"/>
                <w:szCs w:val="24"/>
                <w:lang w:val="en-US" w:eastAsia="zh-CN" w:bidi="ar"/>
              </w:rPr>
              <w:t>1</w:t>
            </w:r>
            <w:r>
              <w:rPr>
                <w:rFonts w:hint="eastAsia" w:ascii="Calibri" w:hAnsi="Calibri" w:eastAsia="宋体" w:cs="宋体"/>
                <w:kern w:val="2"/>
                <w:sz w:val="24"/>
                <w:szCs w:val="24"/>
                <w:lang w:val="en-US" w:eastAsia="zh-CN" w:bidi="ar"/>
              </w:rPr>
              <w:t>亿元，在此基础上，计划在融资后</w:t>
            </w:r>
            <w:r>
              <w:rPr>
                <w:rFonts w:hint="default" w:ascii="Calibri" w:hAnsi="Calibri" w:eastAsia="宋体" w:cs="Times New Roman"/>
                <w:kern w:val="2"/>
                <w:sz w:val="24"/>
                <w:szCs w:val="24"/>
                <w:lang w:val="en-US" w:eastAsia="zh-CN" w:bidi="ar"/>
              </w:rPr>
              <w:t>3-5</w:t>
            </w:r>
            <w:r>
              <w:rPr>
                <w:rFonts w:hint="eastAsia" w:ascii="Calibri" w:hAnsi="Calibri" w:eastAsia="宋体" w:cs="宋体"/>
                <w:kern w:val="2"/>
                <w:sz w:val="24"/>
                <w:szCs w:val="24"/>
                <w:lang w:val="en-US" w:eastAsia="zh-CN" w:bidi="ar"/>
              </w:rPr>
              <w:t>年做到年产值</w:t>
            </w:r>
            <w:r>
              <w:rPr>
                <w:rFonts w:hint="default" w:ascii="Calibri" w:hAnsi="Calibri" w:eastAsia="宋体" w:cs="Times New Roman"/>
                <w:kern w:val="2"/>
                <w:sz w:val="24"/>
                <w:szCs w:val="24"/>
                <w:lang w:val="en-US" w:eastAsia="zh-CN" w:bidi="ar"/>
              </w:rPr>
              <w:t>5</w:t>
            </w:r>
            <w:r>
              <w:rPr>
                <w:rFonts w:hint="eastAsia" w:ascii="Calibri" w:hAnsi="Calibri" w:eastAsia="宋体" w:cs="宋体"/>
                <w:kern w:val="2"/>
                <w:sz w:val="24"/>
                <w:szCs w:val="24"/>
                <w:lang w:val="en-US" w:eastAsia="zh-CN" w:bidi="ar"/>
              </w:rPr>
              <w:t>亿元，年净利润</w:t>
            </w:r>
            <w:r>
              <w:rPr>
                <w:rFonts w:hint="default" w:ascii="Calibri" w:hAnsi="Calibri" w:eastAsia="宋体" w:cs="Times New Roman"/>
                <w:kern w:val="2"/>
                <w:sz w:val="24"/>
                <w:szCs w:val="24"/>
                <w:lang w:val="en-US" w:eastAsia="zh-CN" w:bidi="ar"/>
              </w:rPr>
              <w:t>5000</w:t>
            </w:r>
            <w:r>
              <w:rPr>
                <w:rFonts w:hint="eastAsia" w:ascii="Calibri" w:hAnsi="Calibri" w:eastAsia="宋体" w:cs="宋体"/>
                <w:kern w:val="2"/>
                <w:sz w:val="24"/>
                <w:szCs w:val="24"/>
                <w:lang w:val="en-US" w:eastAsia="zh-CN" w:bidi="ar"/>
              </w:rPr>
              <w:t>万元以上。</w:t>
            </w:r>
          </w:p>
          <w:p>
            <w:pPr>
              <w:keepNext w:val="0"/>
              <w:keepLines w:val="0"/>
              <w:widowControl w:val="0"/>
              <w:suppressLineNumbers w:val="0"/>
              <w:spacing w:before="0" w:beforeAutospacing="0" w:after="0" w:afterAutospacing="0" w:line="360" w:lineRule="auto"/>
              <w:ind w:left="0" w:right="0" w:firstLine="480" w:firstLineChars="200"/>
              <w:jc w:val="both"/>
              <w:rPr>
                <w:rFonts w:hint="default"/>
              </w:rPr>
            </w:pPr>
            <w:r>
              <w:rPr>
                <w:rFonts w:hint="eastAsia" w:ascii="Calibri" w:hAnsi="Calibri" w:eastAsia="宋体" w:cs="Times New Roman"/>
                <w:kern w:val="2"/>
                <w:sz w:val="24"/>
                <w:szCs w:val="24"/>
                <w:lang w:val="en-US" w:eastAsia="zh-CN" w:bidi="ar"/>
              </w:rPr>
              <w:t>在管理方面：建立现代企业制度，采用骨干员工持股方式激励团队，吸引优秀人才。不断完善公司股权结构，建立和完善相关制度，规范法人治理结构，提高企业管理水平，降低经营风险。</w:t>
            </w:r>
          </w:p>
          <w:p>
            <w:pPr>
              <w:keepNext w:val="0"/>
              <w:keepLines w:val="0"/>
              <w:widowControl/>
              <w:suppressLineNumbers w:val="0"/>
              <w:spacing w:before="0" w:beforeAutospacing="0" w:after="0" w:afterAutospacing="0"/>
              <w:ind w:left="0" w:right="0"/>
              <w:textAlignment w:val="top"/>
              <w:rPr>
                <w:rFonts w:hint="default" w:ascii="宋体" w:hAnsi="宋体" w:cs="宋体"/>
                <w:color w:val="000000"/>
                <w:sz w:val="24"/>
                <w:szCs w:val="24"/>
              </w:rPr>
            </w:pPr>
          </w:p>
        </w:tc>
      </w:tr>
      <w:tr>
        <w:tblPrEx>
          <w:tblCellMar>
            <w:top w:w="0" w:type="dxa"/>
            <w:left w:w="108" w:type="dxa"/>
            <w:bottom w:w="0" w:type="dxa"/>
            <w:right w:w="108" w:type="dxa"/>
          </w:tblCellMar>
        </w:tblPrEx>
        <w:trPr>
          <w:trHeight w:val="10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过往融资情况</w:t>
            </w:r>
          </w:p>
        </w:tc>
        <w:tc>
          <w:tcPr>
            <w:tcW w:w="8455" w:type="dxa"/>
            <w:gridSpan w:val="6"/>
            <w:tcBorders>
              <w:top w:val="single" w:color="000000" w:sz="8" w:space="0"/>
              <w:left w:val="nil"/>
              <w:bottom w:val="single" w:color="000000" w:sz="8" w:space="0"/>
              <w:right w:val="single" w:color="000000" w:sz="8" w:space="0"/>
            </w:tcBorders>
            <w:shd w:val="clear" w:color="auto" w:fill="auto"/>
          </w:tcPr>
          <w:p>
            <w:pPr>
              <w:keepNext w:val="0"/>
              <w:keepLines w:val="0"/>
              <w:widowControl/>
              <w:suppressLineNumbers w:val="0"/>
              <w:spacing w:before="0" w:beforeAutospacing="0" w:after="0" w:afterAutospacing="0"/>
              <w:ind w:left="0" w:right="0"/>
              <w:textAlignment w:val="top"/>
              <w:rPr>
                <w:rFonts w:hint="default" w:ascii="宋体" w:hAnsi="宋体" w:cs="宋体"/>
                <w:color w:val="000000"/>
                <w:sz w:val="24"/>
                <w:szCs w:val="24"/>
              </w:rPr>
            </w:pPr>
            <w:r>
              <w:rPr>
                <w:rFonts w:hint="eastAsia" w:ascii="宋体" w:hAnsi="宋体" w:cs="宋体"/>
                <w:color w:val="000000"/>
                <w:kern w:val="0"/>
                <w:sz w:val="24"/>
                <w:szCs w:val="24"/>
                <w:lang w:val="en-US" w:eastAsia="zh-CN" w:bidi="ar"/>
              </w:rPr>
              <w:t>/</w:t>
            </w:r>
            <w:r>
              <w:rPr>
                <w:rFonts w:hint="eastAsia" w:ascii="宋体" w:hAnsi="宋体" w:cs="宋体"/>
                <w:color w:val="000000"/>
                <w:kern w:val="0"/>
                <w:sz w:val="24"/>
                <w:szCs w:val="24"/>
                <w:lang w:bidi="ar"/>
              </w:rPr>
              <w:t xml:space="preserve">    </w:t>
            </w:r>
          </w:p>
        </w:tc>
      </w:tr>
      <w:tr>
        <w:tblPrEx>
          <w:tblCellMar>
            <w:top w:w="0" w:type="dxa"/>
            <w:left w:w="108" w:type="dxa"/>
            <w:bottom w:w="0" w:type="dxa"/>
            <w:right w:w="108" w:type="dxa"/>
          </w:tblCellMar>
        </w:tblPrEx>
        <w:trPr>
          <w:trHeight w:val="885"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近两年财务状况</w:t>
            </w:r>
          </w:p>
        </w:tc>
        <w:tc>
          <w:tcPr>
            <w:tcW w:w="8455" w:type="dxa"/>
            <w:gridSpan w:val="6"/>
            <w:tcBorders>
              <w:top w:val="nil"/>
              <w:left w:val="nil"/>
              <w:bottom w:val="single" w:color="000000" w:sz="8" w:space="0"/>
              <w:right w:val="single" w:color="000000" w:sz="8" w:space="0"/>
            </w:tcBorders>
            <w:shd w:val="clear" w:color="auto" w:fill="auto"/>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val="en-US" w:eastAsia="zh-CN" w:bidi="ar"/>
              </w:rPr>
              <w:t>公司2020年度营业收入1.29亿元，研发强度为6.1%；2021年度营业收入1.98亿元，研发强度为11.33%；</w:t>
            </w:r>
          </w:p>
          <w:p>
            <w:pPr>
              <w:keepNext w:val="0"/>
              <w:keepLines w:val="0"/>
              <w:suppressLineNumbers w:val="0"/>
              <w:spacing w:before="0" w:beforeAutospacing="0" w:after="0" w:afterAutospacing="0"/>
              <w:ind w:left="0" w:right="0"/>
              <w:rPr>
                <w:rFonts w:hint="default" w:ascii="宋体" w:hAnsi="宋体" w:cs="宋体"/>
                <w:color w:val="000000"/>
                <w:sz w:val="24"/>
                <w:szCs w:val="24"/>
                <w:lang w:val="en-US" w:eastAsia="zh-CN"/>
              </w:rPr>
            </w:pPr>
          </w:p>
        </w:tc>
      </w:tr>
      <w:tr>
        <w:tblPrEx>
          <w:tblCellMar>
            <w:top w:w="0" w:type="dxa"/>
            <w:left w:w="108" w:type="dxa"/>
            <w:bottom w:w="0" w:type="dxa"/>
            <w:right w:w="108" w:type="dxa"/>
          </w:tblCellMar>
        </w:tblPrEx>
        <w:trPr>
          <w:trHeight w:val="580" w:hRule="atLeast"/>
        </w:trPr>
        <w:tc>
          <w:tcPr>
            <w:tcW w:w="229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000000"/>
                <w:sz w:val="24"/>
                <w:szCs w:val="24"/>
              </w:rPr>
            </w:pPr>
            <w:r>
              <w:rPr>
                <w:rFonts w:hint="eastAsia" w:ascii="宋体" w:hAnsi="宋体" w:cs="宋体"/>
                <w:b/>
                <w:bCs/>
                <w:color w:val="000000"/>
                <w:kern w:val="0"/>
                <w:sz w:val="24"/>
                <w:szCs w:val="24"/>
                <w:lang w:bidi="ar"/>
              </w:rPr>
              <w:t>联系方式</w:t>
            </w:r>
          </w:p>
        </w:tc>
        <w:tc>
          <w:tcPr>
            <w:tcW w:w="287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联系人</w:t>
            </w:r>
            <w:bookmarkStart w:id="0" w:name="_GoBack"/>
            <w:bookmarkEnd w:id="0"/>
          </w:p>
        </w:tc>
        <w:tc>
          <w:tcPr>
            <w:tcW w:w="2580"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单惟乐</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职务</w:t>
            </w:r>
          </w:p>
        </w:tc>
        <w:tc>
          <w:tcPr>
            <w:tcW w:w="191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技术中心主任</w:t>
            </w:r>
          </w:p>
        </w:tc>
      </w:tr>
      <w:tr>
        <w:tblPrEx>
          <w:tblCellMar>
            <w:top w:w="0" w:type="dxa"/>
            <w:left w:w="108" w:type="dxa"/>
            <w:bottom w:w="0" w:type="dxa"/>
            <w:right w:w="108" w:type="dxa"/>
          </w:tblCellMar>
        </w:tblPrEx>
        <w:trPr>
          <w:trHeight w:val="58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24"/>
                <w:szCs w:val="24"/>
              </w:rPr>
            </w:pPr>
            <w:r>
              <w:rPr>
                <w:rFonts w:hint="eastAsia" w:ascii="宋体" w:hAnsi="宋体" w:cs="宋体"/>
                <w:color w:val="000000"/>
                <w:kern w:val="0"/>
                <w:sz w:val="24"/>
                <w:szCs w:val="24"/>
                <w:lang w:bidi="ar"/>
              </w:rPr>
              <w:t>E-mail</w:t>
            </w:r>
          </w:p>
        </w:tc>
        <w:tc>
          <w:tcPr>
            <w:tcW w:w="2580"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val="en-US" w:eastAsia="zh-CN" w:bidi="ar"/>
              </w:rPr>
              <w:t>shanweile@its-sh.com</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手机</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val="en-US" w:eastAsia="zh-CN" w:bidi="ar"/>
              </w:rPr>
              <w:t>17821600335</w:t>
            </w:r>
          </w:p>
        </w:tc>
      </w:tr>
    </w:tbl>
    <w:p>
      <w:pPr>
        <w:adjustRightInd w:val="0"/>
        <w:snapToGrid w:val="0"/>
        <w:spacing w:line="600" w:lineRule="exact"/>
        <w:ind w:right="-510" w:rightChars="-243"/>
        <w:rPr>
          <w:rFonts w:ascii="仿宋_GB2312" w:hAnsi="仿宋_GB2312" w:eastAsia="仿宋_GB2312" w:cs="仿宋_GB2312"/>
          <w:sz w:val="32"/>
          <w:szCs w:val="32"/>
          <w:shd w:val="clear" w:color="auto" w:fill="FFFFFF"/>
        </w:rPr>
      </w:pPr>
    </w:p>
    <w:sectPr>
      <w:pgSz w:w="11906" w:h="16838"/>
      <w:pgMar w:top="1327" w:right="1800" w:bottom="121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0E4FF"/>
    <w:multiLevelType w:val="singleLevel"/>
    <w:tmpl w:val="CDF0E4FF"/>
    <w:lvl w:ilvl="0" w:tentative="0">
      <w:start w:val="2"/>
      <w:numFmt w:val="chineseCounting"/>
      <w:suff w:val="nothing"/>
      <w:lvlText w:val="%1、"/>
      <w:lvlJc w:val="left"/>
      <w:rPr>
        <w:rFonts w:hint="eastAsia"/>
      </w:rPr>
    </w:lvl>
  </w:abstractNum>
  <w:abstractNum w:abstractNumId="1">
    <w:nsid w:val="F3AF0993"/>
    <w:multiLevelType w:val="singleLevel"/>
    <w:tmpl w:val="F3AF0993"/>
    <w:lvl w:ilvl="0" w:tentative="0">
      <w:start w:val="1"/>
      <w:numFmt w:val="decimal"/>
      <w:lvlText w:val="%1."/>
      <w:lvlJc w:val="left"/>
      <w:pPr>
        <w:tabs>
          <w:tab w:val="left" w:pos="312"/>
        </w:tabs>
      </w:pPr>
    </w:lvl>
  </w:abstractNum>
  <w:abstractNum w:abstractNumId="2">
    <w:nsid w:val="2AF683B9"/>
    <w:multiLevelType w:val="multilevel"/>
    <w:tmpl w:val="2AF683B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3DEFB7A6"/>
    <w:rsid w:val="00003A10"/>
    <w:rsid w:val="00006B5B"/>
    <w:rsid w:val="00022F56"/>
    <w:rsid w:val="00030E7A"/>
    <w:rsid w:val="00031C0B"/>
    <w:rsid w:val="000545BE"/>
    <w:rsid w:val="00056FAD"/>
    <w:rsid w:val="00065E38"/>
    <w:rsid w:val="00074765"/>
    <w:rsid w:val="00076ACB"/>
    <w:rsid w:val="00081B13"/>
    <w:rsid w:val="00090F3F"/>
    <w:rsid w:val="00092F1C"/>
    <w:rsid w:val="000B7AFB"/>
    <w:rsid w:val="000D6C43"/>
    <w:rsid w:val="000E4131"/>
    <w:rsid w:val="000F002A"/>
    <w:rsid w:val="00135CC1"/>
    <w:rsid w:val="001529CC"/>
    <w:rsid w:val="001535C2"/>
    <w:rsid w:val="00170CD4"/>
    <w:rsid w:val="00176D27"/>
    <w:rsid w:val="001A12B3"/>
    <w:rsid w:val="001A7773"/>
    <w:rsid w:val="00220BE0"/>
    <w:rsid w:val="00227001"/>
    <w:rsid w:val="002758D7"/>
    <w:rsid w:val="002762B7"/>
    <w:rsid w:val="00281FDD"/>
    <w:rsid w:val="00286F3F"/>
    <w:rsid w:val="00291EFF"/>
    <w:rsid w:val="002A0926"/>
    <w:rsid w:val="002A513C"/>
    <w:rsid w:val="002B1710"/>
    <w:rsid w:val="002D7D8C"/>
    <w:rsid w:val="002F6AA9"/>
    <w:rsid w:val="00305847"/>
    <w:rsid w:val="00335690"/>
    <w:rsid w:val="00381522"/>
    <w:rsid w:val="0038160E"/>
    <w:rsid w:val="0039556D"/>
    <w:rsid w:val="003C4090"/>
    <w:rsid w:val="003D4303"/>
    <w:rsid w:val="003F134A"/>
    <w:rsid w:val="003F2366"/>
    <w:rsid w:val="003F6200"/>
    <w:rsid w:val="00407006"/>
    <w:rsid w:val="00474FEB"/>
    <w:rsid w:val="004C18B6"/>
    <w:rsid w:val="004E1C32"/>
    <w:rsid w:val="005853E7"/>
    <w:rsid w:val="005A68C7"/>
    <w:rsid w:val="005B0840"/>
    <w:rsid w:val="005C1419"/>
    <w:rsid w:val="006015A2"/>
    <w:rsid w:val="00602C60"/>
    <w:rsid w:val="00631B95"/>
    <w:rsid w:val="006728DA"/>
    <w:rsid w:val="00675D05"/>
    <w:rsid w:val="006D1E5F"/>
    <w:rsid w:val="007028F2"/>
    <w:rsid w:val="00704576"/>
    <w:rsid w:val="0078632F"/>
    <w:rsid w:val="007930AE"/>
    <w:rsid w:val="007A588E"/>
    <w:rsid w:val="007B5BD3"/>
    <w:rsid w:val="007D07D3"/>
    <w:rsid w:val="007D4DD0"/>
    <w:rsid w:val="007F0534"/>
    <w:rsid w:val="00887B39"/>
    <w:rsid w:val="008D0001"/>
    <w:rsid w:val="008E4BCD"/>
    <w:rsid w:val="0090483C"/>
    <w:rsid w:val="00915DBF"/>
    <w:rsid w:val="00931295"/>
    <w:rsid w:val="009617A7"/>
    <w:rsid w:val="00965DB2"/>
    <w:rsid w:val="009754F5"/>
    <w:rsid w:val="009963DF"/>
    <w:rsid w:val="009A2E27"/>
    <w:rsid w:val="009E0BCD"/>
    <w:rsid w:val="009E0BCF"/>
    <w:rsid w:val="009E2591"/>
    <w:rsid w:val="009F1A91"/>
    <w:rsid w:val="00A03302"/>
    <w:rsid w:val="00A155F1"/>
    <w:rsid w:val="00A26329"/>
    <w:rsid w:val="00A87C67"/>
    <w:rsid w:val="00AA4396"/>
    <w:rsid w:val="00AC4BD4"/>
    <w:rsid w:val="00AC6F53"/>
    <w:rsid w:val="00AE6EA1"/>
    <w:rsid w:val="00B75526"/>
    <w:rsid w:val="00B9720A"/>
    <w:rsid w:val="00BD5583"/>
    <w:rsid w:val="00BE3D1A"/>
    <w:rsid w:val="00C14AD8"/>
    <w:rsid w:val="00C30B68"/>
    <w:rsid w:val="00C43556"/>
    <w:rsid w:val="00C4798F"/>
    <w:rsid w:val="00C51BFC"/>
    <w:rsid w:val="00C53CEF"/>
    <w:rsid w:val="00C633A3"/>
    <w:rsid w:val="00C66C47"/>
    <w:rsid w:val="00C83606"/>
    <w:rsid w:val="00C928B3"/>
    <w:rsid w:val="00CB4A23"/>
    <w:rsid w:val="00CE123F"/>
    <w:rsid w:val="00CF5FF9"/>
    <w:rsid w:val="00D05F3C"/>
    <w:rsid w:val="00D312D6"/>
    <w:rsid w:val="00D6485A"/>
    <w:rsid w:val="00D66210"/>
    <w:rsid w:val="00D70387"/>
    <w:rsid w:val="00D932AF"/>
    <w:rsid w:val="00E409E7"/>
    <w:rsid w:val="00E41272"/>
    <w:rsid w:val="00E94A49"/>
    <w:rsid w:val="00E96CD8"/>
    <w:rsid w:val="00EA1DA9"/>
    <w:rsid w:val="00EA2FDC"/>
    <w:rsid w:val="00EB4F6A"/>
    <w:rsid w:val="00EE1FCF"/>
    <w:rsid w:val="00EE27AD"/>
    <w:rsid w:val="00F122A8"/>
    <w:rsid w:val="00F156BB"/>
    <w:rsid w:val="00F55726"/>
    <w:rsid w:val="00FD0C60"/>
    <w:rsid w:val="00FD2F59"/>
    <w:rsid w:val="00FD3E4A"/>
    <w:rsid w:val="00FE7BB0"/>
    <w:rsid w:val="017C6BE4"/>
    <w:rsid w:val="16ECDCFF"/>
    <w:rsid w:val="1814228C"/>
    <w:rsid w:val="18640274"/>
    <w:rsid w:val="191C4F04"/>
    <w:rsid w:val="1ED344C1"/>
    <w:rsid w:val="1FDF47F6"/>
    <w:rsid w:val="1FEE0D56"/>
    <w:rsid w:val="280478D6"/>
    <w:rsid w:val="2D8A6187"/>
    <w:rsid w:val="2DBD7686"/>
    <w:rsid w:val="2E7C22F2"/>
    <w:rsid w:val="2F7F0D57"/>
    <w:rsid w:val="2FDF3D44"/>
    <w:rsid w:val="30F86898"/>
    <w:rsid w:val="32F53AD2"/>
    <w:rsid w:val="34F475DF"/>
    <w:rsid w:val="3D9C6C38"/>
    <w:rsid w:val="3DEFB7A6"/>
    <w:rsid w:val="455B6EA1"/>
    <w:rsid w:val="46203691"/>
    <w:rsid w:val="4AFDA8FB"/>
    <w:rsid w:val="4BB02E05"/>
    <w:rsid w:val="4CD50655"/>
    <w:rsid w:val="4FBFC54C"/>
    <w:rsid w:val="507F00E2"/>
    <w:rsid w:val="52E53CDC"/>
    <w:rsid w:val="561B249B"/>
    <w:rsid w:val="56E23696"/>
    <w:rsid w:val="5A33A48B"/>
    <w:rsid w:val="5CBFAC53"/>
    <w:rsid w:val="5FDF9B5C"/>
    <w:rsid w:val="63B35731"/>
    <w:rsid w:val="675F3499"/>
    <w:rsid w:val="6AC24A79"/>
    <w:rsid w:val="6AF21190"/>
    <w:rsid w:val="6C7E7859"/>
    <w:rsid w:val="6EFF6003"/>
    <w:rsid w:val="6EFFB6D3"/>
    <w:rsid w:val="725C04A6"/>
    <w:rsid w:val="759BB6E9"/>
    <w:rsid w:val="77BE84BD"/>
    <w:rsid w:val="77EFBE71"/>
    <w:rsid w:val="77FF2C44"/>
    <w:rsid w:val="7A41719B"/>
    <w:rsid w:val="7AEFF73F"/>
    <w:rsid w:val="7D7C43C9"/>
    <w:rsid w:val="7DB6046C"/>
    <w:rsid w:val="7FBEA6D2"/>
    <w:rsid w:val="7FEFFDFF"/>
    <w:rsid w:val="7FFB37C5"/>
    <w:rsid w:val="9D3B426A"/>
    <w:rsid w:val="9EB70ABC"/>
    <w:rsid w:val="AAFEF55F"/>
    <w:rsid w:val="BADB6AC6"/>
    <w:rsid w:val="BF5DE8BC"/>
    <w:rsid w:val="D7BB3ED5"/>
    <w:rsid w:val="DEFE9ECE"/>
    <w:rsid w:val="E7AF8054"/>
    <w:rsid w:val="EDDF6CFA"/>
    <w:rsid w:val="EFFEDF8E"/>
    <w:rsid w:val="F05AAF00"/>
    <w:rsid w:val="F3EFA24E"/>
    <w:rsid w:val="F96B0D8B"/>
    <w:rsid w:val="FA7FC36B"/>
    <w:rsid w:val="FEFD88D0"/>
    <w:rsid w:val="FF3F056C"/>
    <w:rsid w:val="FFC74A7C"/>
    <w:rsid w:val="FFFEC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28"/>
    <w:qFormat/>
    <w:uiPriority w:val="0"/>
    <w:pPr>
      <w:spacing w:after="120"/>
    </w:pPr>
  </w:style>
  <w:style w:type="paragraph" w:styleId="3">
    <w:name w:val="Body Text Indent"/>
    <w:basedOn w:val="1"/>
    <w:link w:val="21"/>
    <w:qFormat/>
    <w:uiPriority w:val="0"/>
    <w:pPr>
      <w:spacing w:after="120"/>
      <w:ind w:left="420" w:leftChars="200"/>
    </w:pPr>
  </w:style>
  <w:style w:type="paragraph" w:styleId="4">
    <w:name w:val="Date"/>
    <w:basedOn w:val="1"/>
    <w:next w:val="1"/>
    <w:link w:val="20"/>
    <w:uiPriority w:val="0"/>
    <w:pPr>
      <w:ind w:left="100" w:leftChars="25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Title"/>
    <w:basedOn w:val="1"/>
    <w:next w:val="1"/>
    <w:link w:val="31"/>
    <w:qFormat/>
    <w:uiPriority w:val="0"/>
    <w:pPr>
      <w:keepNext w:val="0"/>
      <w:keepLines w:val="0"/>
      <w:widowControl w:val="0"/>
      <w:suppressLineNumbers w:val="0"/>
      <w:spacing w:before="0" w:beforeAutospacing="0" w:after="0" w:afterAutospacing="0"/>
      <w:ind w:left="0" w:right="0"/>
      <w:jc w:val="center"/>
      <w:outlineLvl w:val="0"/>
    </w:pPr>
    <w:rPr>
      <w:rFonts w:hint="eastAsia" w:ascii="方正小标宋_GBK" w:hAnsi="方正小标宋_GBK" w:eastAsia="方正小标宋_GBK" w:cs="方正小标宋_GBK"/>
      <w:kern w:val="2"/>
      <w:sz w:val="44"/>
      <w:szCs w:val="44"/>
      <w:lang w:val="en-US" w:eastAsia="zh-CN" w:bidi="ar"/>
    </w:rPr>
  </w:style>
  <w:style w:type="paragraph" w:styleId="9">
    <w:name w:val="Body Text First Indent 2"/>
    <w:basedOn w:val="3"/>
    <w:link w:val="22"/>
    <w:qFormat/>
    <w:uiPriority w:val="99"/>
    <w:pPr>
      <w:ind w:firstLine="420" w:firstLineChars="200"/>
    </w:pPr>
    <w:rPr>
      <w:rFonts w:ascii="仿宋_GB2312" w:hAnsiTheme="minorHAnsi" w:cstheme="minorBidi"/>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563C1" w:themeColor="hyperlink"/>
      <w:u w:val="single"/>
      <w14:textFill>
        <w14:solidFill>
          <w14:schemeClr w14:val="hlink"/>
        </w14:solidFill>
      </w14:textFill>
    </w:rPr>
  </w:style>
  <w:style w:type="character" w:customStyle="1" w:styleId="14">
    <w:name w:val="页脚 字符"/>
    <w:link w:val="5"/>
    <w:qFormat/>
    <w:uiPriority w:val="0"/>
    <w:rPr>
      <w:rFonts w:ascii="Calibri" w:hAnsi="Calibri"/>
      <w:kern w:val="2"/>
      <w:sz w:val="18"/>
      <w:szCs w:val="18"/>
    </w:rPr>
  </w:style>
  <w:style w:type="character" w:customStyle="1" w:styleId="15">
    <w:name w:val="页眉 字符"/>
    <w:link w:val="6"/>
    <w:qFormat/>
    <w:uiPriority w:val="0"/>
    <w:rPr>
      <w:rFonts w:ascii="Calibri" w:hAnsi="Calibri"/>
      <w:kern w:val="2"/>
      <w:sz w:val="18"/>
      <w:szCs w:val="18"/>
    </w:rPr>
  </w:style>
  <w:style w:type="paragraph" w:styleId="16">
    <w:name w:val="List Paragraph"/>
    <w:basedOn w:val="1"/>
    <w:qFormat/>
    <w:uiPriority w:val="34"/>
    <w:pPr>
      <w:ind w:firstLine="420" w:firstLineChars="200"/>
    </w:pPr>
  </w:style>
  <w:style w:type="character" w:customStyle="1" w:styleId="17">
    <w:name w:val="NormalCharacter"/>
    <w:semiHidden/>
    <w:qFormat/>
    <w:uiPriority w:val="0"/>
    <w:rPr>
      <w:rFonts w:ascii="Calibri" w:hAnsi="Calibri" w:eastAsia="宋体" w:cs="Times New Roman"/>
      <w:kern w:val="2"/>
      <w:sz w:val="21"/>
      <w:szCs w:val="22"/>
      <w:lang w:val="en-US" w:eastAsia="zh-CN" w:bidi="ar-SA"/>
    </w:rPr>
  </w:style>
  <w:style w:type="paragraph" w:customStyle="1" w:styleId="18">
    <w:name w:val="Revision"/>
    <w:unhideWhenUsed/>
    <w:qFormat/>
    <w:uiPriority w:val="99"/>
    <w:rPr>
      <w:rFonts w:ascii="Calibri" w:hAnsi="Calibri" w:eastAsia="宋体" w:cs="Times New Roman"/>
      <w:kern w:val="2"/>
      <w:sz w:val="21"/>
      <w:szCs w:val="22"/>
      <w:lang w:val="en-US" w:eastAsia="zh-CN" w:bidi="ar-SA"/>
    </w:rPr>
  </w:style>
  <w:style w:type="character" w:customStyle="1" w:styleId="19">
    <w:name w:val="fontstyle01"/>
    <w:qFormat/>
    <w:uiPriority w:val="0"/>
    <w:rPr>
      <w:rFonts w:hint="eastAsia" w:ascii="仿宋" w:hAnsi="仿宋" w:eastAsia="仿宋"/>
      <w:color w:val="000000"/>
      <w:sz w:val="30"/>
      <w:szCs w:val="30"/>
    </w:rPr>
  </w:style>
  <w:style w:type="character" w:customStyle="1" w:styleId="20">
    <w:name w:val="日期 字符"/>
    <w:link w:val="4"/>
    <w:qFormat/>
    <w:uiPriority w:val="0"/>
    <w:rPr>
      <w:rFonts w:ascii="Calibri" w:hAnsi="Calibri"/>
      <w:kern w:val="2"/>
      <w:sz w:val="21"/>
      <w:szCs w:val="22"/>
    </w:rPr>
  </w:style>
  <w:style w:type="character" w:customStyle="1" w:styleId="21">
    <w:name w:val="正文文本缩进 字符"/>
    <w:basedOn w:val="12"/>
    <w:link w:val="3"/>
    <w:qFormat/>
    <w:uiPriority w:val="0"/>
    <w:rPr>
      <w:rFonts w:ascii="Calibri" w:hAnsi="Calibri"/>
      <w:kern w:val="2"/>
      <w:sz w:val="21"/>
      <w:szCs w:val="22"/>
    </w:rPr>
  </w:style>
  <w:style w:type="character" w:customStyle="1" w:styleId="22">
    <w:name w:val="正文文本首行缩进 2 字符"/>
    <w:basedOn w:val="21"/>
    <w:link w:val="9"/>
    <w:qFormat/>
    <w:uiPriority w:val="99"/>
    <w:rPr>
      <w:rFonts w:ascii="仿宋_GB2312" w:hAnsiTheme="minorHAnsi" w:cstheme="minorBidi"/>
      <w:kern w:val="2"/>
      <w:sz w:val="21"/>
      <w:szCs w:val="22"/>
    </w:rPr>
  </w:style>
  <w:style w:type="character" w:customStyle="1" w:styleId="23">
    <w:name w:val="font01"/>
    <w:basedOn w:val="12"/>
    <w:qFormat/>
    <w:uiPriority w:val="0"/>
    <w:rPr>
      <w:rFonts w:hint="eastAsia" w:ascii="宋体" w:hAnsi="宋体" w:eastAsia="宋体" w:cs="宋体"/>
      <w:color w:val="000000"/>
      <w:sz w:val="24"/>
      <w:szCs w:val="24"/>
      <w:u w:val="none"/>
    </w:rPr>
  </w:style>
  <w:style w:type="character" w:customStyle="1" w:styleId="24">
    <w:name w:val="font61"/>
    <w:basedOn w:val="12"/>
    <w:qFormat/>
    <w:uiPriority w:val="0"/>
    <w:rPr>
      <w:rFonts w:hint="default" w:ascii="Wingdings" w:hAnsi="Wingdings" w:cs="Wingdings"/>
      <w:color w:val="000000"/>
      <w:sz w:val="24"/>
      <w:szCs w:val="24"/>
      <w:u w:val="none"/>
    </w:rPr>
  </w:style>
  <w:style w:type="character" w:customStyle="1" w:styleId="25">
    <w:name w:val="font71"/>
    <w:basedOn w:val="12"/>
    <w:qFormat/>
    <w:uiPriority w:val="0"/>
    <w:rPr>
      <w:rFonts w:ascii="Wingdings 2" w:hAnsi="Wingdings 2" w:eastAsia="Wingdings 2" w:cs="Wingdings 2"/>
      <w:b/>
      <w:bCs/>
      <w:color w:val="000000"/>
      <w:sz w:val="24"/>
      <w:szCs w:val="24"/>
      <w:u w:val="none"/>
    </w:rPr>
  </w:style>
  <w:style w:type="character" w:customStyle="1" w:styleId="26">
    <w:name w:val="font11"/>
    <w:basedOn w:val="12"/>
    <w:qFormat/>
    <w:uiPriority w:val="0"/>
    <w:rPr>
      <w:rFonts w:hint="default" w:ascii="Wingdings 2" w:hAnsi="Wingdings 2" w:eastAsia="Wingdings 2" w:cs="Wingdings 2"/>
      <w:color w:val="000000"/>
      <w:sz w:val="24"/>
      <w:szCs w:val="24"/>
      <w:u w:val="none"/>
    </w:rPr>
  </w:style>
  <w:style w:type="character" w:customStyle="1" w:styleId="27">
    <w:name w:val="font81"/>
    <w:basedOn w:val="12"/>
    <w:qFormat/>
    <w:uiPriority w:val="0"/>
    <w:rPr>
      <w:rFonts w:hint="eastAsia" w:ascii="宋体" w:hAnsi="宋体" w:eastAsia="宋体" w:cs="宋体"/>
      <w:color w:val="000000"/>
      <w:sz w:val="24"/>
      <w:szCs w:val="24"/>
      <w:u w:val="single"/>
    </w:rPr>
  </w:style>
  <w:style w:type="character" w:customStyle="1" w:styleId="28">
    <w:name w:val="正文文本 字符"/>
    <w:basedOn w:val="12"/>
    <w:link w:val="2"/>
    <w:qFormat/>
    <w:uiPriority w:val="0"/>
    <w:rPr>
      <w:rFonts w:ascii="Calibri" w:hAnsi="Calibri"/>
      <w:kern w:val="2"/>
      <w:sz w:val="21"/>
      <w:szCs w:val="22"/>
    </w:rPr>
  </w:style>
  <w:style w:type="character" w:customStyle="1" w:styleId="29">
    <w:name w:val="Unresolved Mention"/>
    <w:basedOn w:val="12"/>
    <w:semiHidden/>
    <w:unhideWhenUsed/>
    <w:qFormat/>
    <w:uiPriority w:val="99"/>
    <w:rPr>
      <w:color w:val="605E5C"/>
      <w:shd w:val="clear" w:color="auto" w:fill="E1DFDD"/>
    </w:rPr>
  </w:style>
  <w:style w:type="paragraph" w:customStyle="1" w:styleId="30">
    <w:name w:val="msolistparagraph"/>
    <w:basedOn w:val="1"/>
    <w:uiPriority w:val="0"/>
    <w:pPr>
      <w:keepNext w:val="0"/>
      <w:keepLines w:val="0"/>
      <w:widowControl w:val="0"/>
      <w:suppressLineNumbers w:val="0"/>
      <w:spacing w:before="0" w:beforeAutospacing="0" w:after="0" w:afterAutospacing="0"/>
      <w:ind w:left="0" w:right="0" w:firstLine="420"/>
      <w:jc w:val="both"/>
    </w:pPr>
    <w:rPr>
      <w:rFonts w:hint="default" w:ascii="Calibri" w:hAnsi="Calibri" w:eastAsia="宋体" w:cs="Times New Roman"/>
      <w:kern w:val="2"/>
      <w:sz w:val="21"/>
      <w:szCs w:val="22"/>
      <w:lang w:val="en-US" w:eastAsia="zh-CN" w:bidi="ar"/>
    </w:rPr>
  </w:style>
  <w:style w:type="character" w:customStyle="1" w:styleId="31">
    <w:name w:val="标题 字符"/>
    <w:basedOn w:val="12"/>
    <w:link w:val="8"/>
    <w:uiPriority w:val="0"/>
    <w:rPr>
      <w:rFonts w:hint="eastAsia" w:ascii="方正小标宋_GBK" w:hAnsi="方正小标宋_GBK" w:eastAsia="方正小标宋_GBK" w:cs="方正小标宋_GBK"/>
      <w:kern w:val="2"/>
      <w:sz w:val="44"/>
      <w:szCs w:val="44"/>
    </w:rPr>
  </w:style>
  <w:style w:type="character" w:customStyle="1" w:styleId="32">
    <w:name w:val="15"/>
    <w:basedOn w:val="12"/>
    <w:uiPriority w:val="0"/>
    <w:rPr>
      <w:rFonts w:hint="eastAsia" w:ascii="等线" w:hAnsi="等线" w:eastAsia="等线" w:cs="等线"/>
    </w:rPr>
  </w:style>
  <w:style w:type="character" w:customStyle="1" w:styleId="33">
    <w:name w:val="10"/>
    <w:basedOn w:val="12"/>
    <w:uiPriority w:val="0"/>
    <w:rPr>
      <w:rFonts w:hint="eastAsia" w:ascii="等线" w:hAnsi="等线" w:eastAsia="等线" w:cs="等线"/>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F1F4-045A-4721-9862-892F7DDD110F}">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1018</Characters>
  <Lines>8</Lines>
  <Paragraphs>2</Paragraphs>
  <TotalTime>1</TotalTime>
  <ScaleCrop>false</ScaleCrop>
  <LinksUpToDate>false</LinksUpToDate>
  <CharactersWithSpaces>1194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2022-11-14T05:39:00Z</dcterms:created>
  <dc:creator>虎贝贝</dc:creator>
  <cp:lastModifiedBy>清晨</cp:lastModifiedBy>
  <cp:lastPrinted>2022-07-27T01:38:00Z</cp:lastPrinted>
  <dcterms:modified xsi:type="dcterms:W3CDTF">2022-11-18T09:35:37Z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2ECBD1F35C764086BC93D5D5719EFF1F</vt:lpwstr>
  </property>
</Properties>
</file>