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666" w:tblpY="427"/>
        <w:tblOverlap w:val="never"/>
        <w:tblW w:w="10747" w:type="dxa"/>
        <w:tblInd w:w="0" w:type="dxa"/>
        <w:tblLayout w:type="fixed"/>
        <w:tblCellMar>
          <w:top w:w="0" w:type="dxa"/>
          <w:left w:w="108" w:type="dxa"/>
          <w:bottom w:w="0" w:type="dxa"/>
          <w:right w:w="108" w:type="dxa"/>
        </w:tblCellMar>
      </w:tblPr>
      <w:tblGrid>
        <w:gridCol w:w="2292"/>
        <w:gridCol w:w="805"/>
        <w:gridCol w:w="2072"/>
        <w:gridCol w:w="2468"/>
        <w:gridCol w:w="112"/>
        <w:gridCol w:w="1080"/>
        <w:gridCol w:w="1918"/>
      </w:tblGrid>
      <w:tr>
        <w:tblPrEx>
          <w:tblCellMar>
            <w:top w:w="0" w:type="dxa"/>
            <w:left w:w="108" w:type="dxa"/>
            <w:bottom w:w="0" w:type="dxa"/>
            <w:right w:w="108" w:type="dxa"/>
          </w:tblCellMar>
        </w:tblPrEx>
        <w:trPr>
          <w:trHeight w:val="465" w:hRule="atLeast"/>
        </w:trPr>
        <w:tc>
          <w:tcPr>
            <w:tcW w:w="10747" w:type="dxa"/>
            <w:gridSpan w:val="7"/>
            <w:tcBorders>
              <w:top w:val="nil"/>
              <w:left w:val="nil"/>
              <w:bottom w:val="nil"/>
              <w:right w:val="nil"/>
            </w:tcBorders>
            <w:shd w:val="clear" w:color="auto" w:fill="auto"/>
            <w:noWrap/>
            <w:vAlign w:val="center"/>
          </w:tcPr>
          <w:p>
            <w:pPr>
              <w:pStyle w:val="4"/>
              <w:widowControl/>
              <w:ind w:left="0" w:leftChars="0" w:firstLine="1200" w:firstLineChars="500"/>
              <w:jc w:val="left"/>
              <w:rPr>
                <w:rFonts w:hint="eastAsia" w:ascii="宋体" w:hAnsi="宋体" w:eastAsia="宋体" w:cs="宋体"/>
                <w:b/>
                <w:bCs/>
                <w:color w:val="000000"/>
                <w:sz w:val="36"/>
                <w:szCs w:val="36"/>
                <w:lang w:val="en-US" w:eastAsia="zh-CN"/>
              </w:rPr>
            </w:pPr>
            <w:r>
              <w:rPr>
                <w:rFonts w:hint="eastAsia" w:ascii="Times New Roman" w:hAnsi="宋体" w:cs="Times New Roman"/>
                <w:color w:val="000000"/>
                <w:kern w:val="0"/>
                <w:sz w:val="24"/>
              </w:rPr>
              <w:t>附件一：项目征集表</w:t>
            </w:r>
            <w:r>
              <w:rPr>
                <w:rFonts w:hint="eastAsia" w:ascii="Times New Roman" w:hAnsi="宋体" w:cs="Times New Roman"/>
                <w:color w:val="000000"/>
                <w:kern w:val="0"/>
                <w:sz w:val="24"/>
                <w:lang w:eastAsia="zh-CN"/>
              </w:rPr>
              <w:t>（模板）</w:t>
            </w:r>
          </w:p>
        </w:tc>
      </w:tr>
      <w:tr>
        <w:tblPrEx>
          <w:tblCellMar>
            <w:top w:w="0" w:type="dxa"/>
            <w:left w:w="108" w:type="dxa"/>
            <w:bottom w:w="0" w:type="dxa"/>
            <w:right w:w="108" w:type="dxa"/>
          </w:tblCellMar>
        </w:tblPrEx>
        <w:trPr>
          <w:trHeight w:val="600" w:hRule="atLeast"/>
        </w:trPr>
        <w:tc>
          <w:tcPr>
            <w:tcW w:w="229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公司名称</w:t>
            </w:r>
          </w:p>
        </w:tc>
        <w:tc>
          <w:tcPr>
            <w:tcW w:w="2877"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8"/>
                <w:szCs w:val="28"/>
                <w:lang w:val="en-US" w:eastAsia="zh-CN"/>
              </w:rPr>
              <w:t>天津可宏振星光电技术有限公司</w:t>
            </w:r>
          </w:p>
        </w:tc>
        <w:tc>
          <w:tcPr>
            <w:tcW w:w="2468"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成立时间</w:t>
            </w:r>
          </w:p>
        </w:tc>
        <w:tc>
          <w:tcPr>
            <w:tcW w:w="3110" w:type="dxa"/>
            <w:gridSpan w:val="3"/>
            <w:tcBorders>
              <w:top w:val="single" w:color="000000" w:sz="8" w:space="0"/>
              <w:left w:val="nil"/>
              <w:bottom w:val="single" w:color="000000" w:sz="8" w:space="0"/>
              <w:right w:val="single" w:color="000000" w:sz="8" w:space="0"/>
            </w:tcBorders>
            <w:shd w:val="clear" w:color="auto" w:fill="auto"/>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8"/>
                <w:szCs w:val="28"/>
                <w:lang w:val="en-US" w:eastAsia="zh-CN"/>
              </w:rPr>
              <w:t>2022.01</w:t>
            </w:r>
          </w:p>
        </w:tc>
      </w:tr>
      <w:tr>
        <w:tblPrEx>
          <w:tblCellMar>
            <w:top w:w="0" w:type="dxa"/>
            <w:left w:w="108" w:type="dxa"/>
            <w:bottom w:w="0" w:type="dxa"/>
            <w:right w:w="108" w:type="dxa"/>
          </w:tblCellMar>
        </w:tblPrEx>
        <w:trPr>
          <w:trHeight w:val="87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公司地址</w:t>
            </w:r>
          </w:p>
        </w:tc>
        <w:tc>
          <w:tcPr>
            <w:tcW w:w="2877" w:type="dxa"/>
            <w:gridSpan w:val="2"/>
            <w:tcBorders>
              <w:top w:val="nil"/>
              <w:left w:val="nil"/>
              <w:bottom w:val="single" w:color="000000" w:sz="8" w:space="0"/>
              <w:right w:val="single" w:color="000000" w:sz="8" w:space="0"/>
            </w:tcBorders>
            <w:shd w:val="clear" w:color="auto" w:fill="auto"/>
            <w:vAlign w:val="center"/>
          </w:tcPr>
          <w:p>
            <w:pPr>
              <w:jc w:val="center"/>
              <w:rPr>
                <w:rFonts w:ascii="宋体" w:hAnsi="宋体" w:eastAsia="宋体" w:cs="宋体"/>
                <w:color w:val="000000"/>
                <w:sz w:val="24"/>
                <w:szCs w:val="24"/>
              </w:rPr>
            </w:pPr>
            <w:r>
              <w:rPr>
                <w:rFonts w:hint="eastAsia" w:ascii="宋体" w:hAnsi="宋体" w:eastAsia="宋体" w:cs="宋体"/>
                <w:color w:val="000000"/>
                <w:sz w:val="28"/>
                <w:szCs w:val="28"/>
                <w:lang w:val="en-US" w:eastAsia="zh-CN"/>
              </w:rPr>
              <w:t>天津市东丽区华明高新技术产业区华丰路6号A座3-103室</w:t>
            </w:r>
          </w:p>
        </w:tc>
        <w:tc>
          <w:tcPr>
            <w:tcW w:w="246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注册资本</w:t>
            </w:r>
          </w:p>
        </w:tc>
        <w:tc>
          <w:tcPr>
            <w:tcW w:w="3110" w:type="dxa"/>
            <w:gridSpan w:val="3"/>
            <w:tcBorders>
              <w:top w:val="nil"/>
              <w:left w:val="nil"/>
              <w:bottom w:val="single" w:color="000000" w:sz="8" w:space="0"/>
              <w:right w:val="single" w:color="000000" w:sz="8" w:space="0"/>
            </w:tcBorders>
            <w:shd w:val="clear" w:color="auto" w:fill="auto"/>
            <w:vAlign w:val="center"/>
          </w:tcPr>
          <w:p>
            <w:pPr>
              <w:jc w:val="center"/>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1000万</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所处行业</w:t>
            </w:r>
          </w:p>
        </w:tc>
        <w:tc>
          <w:tcPr>
            <w:tcW w:w="8455" w:type="dxa"/>
            <w:gridSpan w:val="6"/>
            <w:tcBorders>
              <w:top w:val="nil"/>
              <w:left w:val="nil"/>
              <w:bottom w:val="single" w:color="000000" w:sz="8" w:space="0"/>
              <w:right w:val="single" w:color="000000" w:sz="8" w:space="0"/>
            </w:tcBorders>
            <w:shd w:val="clear" w:color="auto" w:fill="auto"/>
            <w:vAlign w:val="center"/>
          </w:tcPr>
          <w:p>
            <w:pPr>
              <w:jc w:val="center"/>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航空航天、信息技术</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成熟度</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Wingdings" w:hAnsi="Wingdings" w:eastAsia="宋体" w:cs="Wingdings"/>
                <w:color w:val="000000"/>
                <w:sz w:val="24"/>
                <w:szCs w:val="24"/>
              </w:rPr>
            </w:pPr>
            <w:r>
              <w:rPr>
                <w:rFonts w:ascii="Wingdings" w:hAnsi="Wingdings" w:eastAsia="宋体" w:cs="Wingdings"/>
                <w:color w:val="000000"/>
                <w:kern w:val="0"/>
                <w:sz w:val="24"/>
                <w:szCs w:val="24"/>
                <w:lang w:bidi="ar"/>
              </w:rPr>
              <w:t>¨</w:t>
            </w:r>
            <w:r>
              <w:rPr>
                <w:rStyle w:val="7"/>
                <w:rFonts w:hint="default"/>
                <w:lang w:bidi="ar"/>
              </w:rPr>
              <w:t xml:space="preserve">报告级 </w:t>
            </w:r>
            <w:r>
              <w:rPr>
                <w:rStyle w:val="8"/>
                <w:rFonts w:eastAsia="宋体"/>
                <w:lang w:bidi="ar"/>
              </w:rPr>
              <w:t>¨</w:t>
            </w:r>
            <w:r>
              <w:rPr>
                <w:rStyle w:val="7"/>
                <w:rFonts w:hint="default"/>
                <w:lang w:bidi="ar"/>
              </w:rPr>
              <w:t xml:space="preserve">方案级 </w:t>
            </w:r>
            <w:r>
              <w:rPr>
                <w:rStyle w:val="8"/>
                <w:rFonts w:eastAsia="宋体"/>
                <w:lang w:bidi="ar"/>
              </w:rPr>
              <w:t>¨</w:t>
            </w:r>
            <w:r>
              <w:rPr>
                <w:rStyle w:val="7"/>
                <w:rFonts w:hint="default"/>
                <w:lang w:bidi="ar"/>
              </w:rPr>
              <w:t xml:space="preserve">功能级 </w:t>
            </w:r>
            <w:r>
              <w:rPr>
                <w:rStyle w:val="8"/>
                <w:rFonts w:eastAsia="宋体"/>
                <w:lang w:bidi="ar"/>
              </w:rPr>
              <w:t>¨</w:t>
            </w:r>
            <w:r>
              <w:rPr>
                <w:rStyle w:val="7"/>
                <w:rFonts w:hint="default"/>
                <w:lang w:bidi="ar"/>
              </w:rPr>
              <w:t>仿真级</w:t>
            </w:r>
            <w:r>
              <w:rPr>
                <w:rStyle w:val="8"/>
                <w:rFonts w:eastAsia="宋体"/>
                <w:lang w:bidi="ar"/>
              </w:rPr>
              <w:t xml:space="preserve"> ¨</w:t>
            </w:r>
            <w:r>
              <w:rPr>
                <w:rStyle w:val="7"/>
                <w:rFonts w:hint="default"/>
                <w:lang w:bidi="ar"/>
              </w:rPr>
              <w:t>初样级</w:t>
            </w:r>
            <w:r>
              <w:rPr>
                <w:rStyle w:val="8"/>
                <w:rFonts w:eastAsia="宋体"/>
                <w:lang w:bidi="ar"/>
              </w:rPr>
              <w:t xml:space="preserve"> ¨</w:t>
            </w:r>
            <w:r>
              <w:rPr>
                <w:rStyle w:val="7"/>
                <w:rFonts w:hint="default"/>
                <w:lang w:bidi="ar"/>
              </w:rPr>
              <w:t>正样级</w:t>
            </w:r>
            <w:r>
              <w:rPr>
                <w:rStyle w:val="8"/>
                <w:rFonts w:eastAsia="宋体"/>
                <w:lang w:bidi="ar"/>
              </w:rPr>
              <w:t xml:space="preserve"> ¨</w:t>
            </w:r>
            <w:r>
              <w:rPr>
                <w:rStyle w:val="7"/>
                <w:rFonts w:hint="default"/>
                <w:lang w:bidi="ar"/>
              </w:rPr>
              <w:t>环境级</w:t>
            </w:r>
            <w:r>
              <w:rPr>
                <w:rStyle w:val="8"/>
                <w:rFonts w:eastAsia="宋体"/>
                <w:lang w:bidi="ar"/>
              </w:rPr>
              <w:t xml:space="preserve"> ¨</w:t>
            </w:r>
            <w:r>
              <w:rPr>
                <w:rStyle w:val="7"/>
                <w:rFonts w:hint="default"/>
                <w:lang w:bidi="ar"/>
              </w:rPr>
              <w:t>产品级</w:t>
            </w:r>
            <w:r>
              <w:rPr>
                <w:rStyle w:val="8"/>
                <w:rFonts w:eastAsia="宋体"/>
                <w:lang w:bidi="ar"/>
              </w:rPr>
              <w:t xml:space="preserve"> </w:t>
            </w:r>
            <w:r>
              <w:rPr>
                <w:rStyle w:val="8"/>
                <w:rFonts w:eastAsia="宋体"/>
                <w:lang w:bidi="ar"/>
              </w:rPr>
              <w:sym w:font="Wingdings" w:char="00FE"/>
            </w:r>
            <w:r>
              <w:rPr>
                <w:rStyle w:val="7"/>
                <w:rFonts w:hint="default"/>
                <w:lang w:bidi="ar"/>
              </w:rPr>
              <w:t>系统级</w:t>
            </w:r>
            <w:r>
              <w:rPr>
                <w:rStyle w:val="8"/>
                <w:rFonts w:eastAsia="宋体"/>
                <w:lang w:bidi="ar"/>
              </w:rPr>
              <w:t xml:space="preserve"> ¨</w:t>
            </w:r>
            <w:r>
              <w:rPr>
                <w:rStyle w:val="7"/>
                <w:rFonts w:hint="default"/>
                <w:lang w:bidi="ar"/>
              </w:rPr>
              <w:t>销售级</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合作方式</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 xml:space="preserve">技术转让 </w:t>
            </w:r>
            <w:r>
              <w:rPr>
                <w:rStyle w:val="9"/>
                <w:lang w:bidi="ar"/>
              </w:rPr>
              <w:t>£</w:t>
            </w:r>
            <w:r>
              <w:rPr>
                <w:rStyle w:val="7"/>
                <w:rFonts w:hint="default"/>
                <w:lang w:bidi="ar"/>
              </w:rPr>
              <w:t>专利许可</w:t>
            </w:r>
            <w:r>
              <w:rPr>
                <w:rStyle w:val="10"/>
                <w:lang w:bidi="ar"/>
              </w:rPr>
              <w:t xml:space="preserve"> </w:t>
            </w:r>
            <w:r>
              <w:rPr>
                <w:rStyle w:val="9"/>
                <w:lang w:bidi="ar"/>
              </w:rPr>
              <w:t>£</w:t>
            </w:r>
            <w:r>
              <w:rPr>
                <w:rStyle w:val="7"/>
                <w:rFonts w:hint="default"/>
                <w:lang w:bidi="ar"/>
              </w:rPr>
              <w:t>委托开发</w:t>
            </w:r>
            <w:r>
              <w:rPr>
                <w:rStyle w:val="10"/>
                <w:lang w:bidi="ar"/>
              </w:rPr>
              <w:t xml:space="preserve"> </w:t>
            </w:r>
            <w:r>
              <w:rPr>
                <w:rStyle w:val="9"/>
                <w:lang w:bidi="ar"/>
              </w:rPr>
              <w:t>£</w:t>
            </w:r>
            <w:r>
              <w:rPr>
                <w:rStyle w:val="7"/>
                <w:rFonts w:hint="default"/>
                <w:lang w:bidi="ar"/>
              </w:rPr>
              <w:t>合作开发</w:t>
            </w:r>
            <w:r>
              <w:rPr>
                <w:rStyle w:val="10"/>
                <w:lang w:bidi="ar"/>
              </w:rPr>
              <w:t xml:space="preserve"> </w:t>
            </w:r>
            <w:r>
              <w:rPr>
                <w:rStyle w:val="9"/>
                <w:lang w:bidi="ar"/>
              </w:rPr>
              <w:t>£</w:t>
            </w:r>
            <w:r>
              <w:rPr>
                <w:rStyle w:val="7"/>
                <w:rFonts w:hint="default"/>
                <w:lang w:bidi="ar"/>
              </w:rPr>
              <w:t>技术咨询</w:t>
            </w:r>
            <w:r>
              <w:rPr>
                <w:rStyle w:val="10"/>
                <w:lang w:bidi="ar"/>
              </w:rPr>
              <w:t xml:space="preserve"> </w:t>
            </w:r>
            <w:r>
              <w:rPr>
                <w:rStyle w:val="9"/>
                <w:lang w:bidi="ar"/>
              </w:rPr>
              <w:t>£</w:t>
            </w:r>
            <w:r>
              <w:rPr>
                <w:rStyle w:val="7"/>
                <w:rFonts w:hint="default"/>
                <w:lang w:bidi="ar"/>
              </w:rPr>
              <w:t>技术服务</w:t>
            </w:r>
            <w:r>
              <w:rPr>
                <w:rStyle w:val="10"/>
                <w:lang w:bidi="ar"/>
              </w:rPr>
              <w:t xml:space="preserve"> </w:t>
            </w:r>
            <w:r>
              <w:rPr>
                <w:rStyle w:val="9"/>
                <w:lang w:bidi="ar"/>
              </w:rPr>
              <w:sym w:font="Wingdings 2" w:char="00A3"/>
            </w:r>
            <w:r>
              <w:rPr>
                <w:rStyle w:val="7"/>
                <w:rFonts w:hint="default"/>
                <w:lang w:bidi="ar"/>
              </w:rPr>
              <w:t>技术入股</w:t>
            </w:r>
            <w:r>
              <w:rPr>
                <w:rStyle w:val="10"/>
                <w:lang w:bidi="ar"/>
              </w:rPr>
              <w:t xml:space="preserve"> </w:t>
            </w:r>
            <w:r>
              <w:rPr>
                <w:rStyle w:val="9"/>
                <w:lang w:bidi="ar"/>
              </w:rPr>
              <w:sym w:font="Wingdings 2" w:char="0052"/>
            </w:r>
            <w:r>
              <w:rPr>
                <w:rStyle w:val="7"/>
                <w:rFonts w:hint="default"/>
                <w:lang w:bidi="ar"/>
              </w:rPr>
              <w:t>创业融资</w:t>
            </w:r>
            <w:r>
              <w:rPr>
                <w:rStyle w:val="10"/>
                <w:lang w:bidi="ar"/>
              </w:rPr>
              <w:t xml:space="preserve"> </w:t>
            </w:r>
            <w:r>
              <w:rPr>
                <w:rStyle w:val="9"/>
                <w:lang w:bidi="ar"/>
              </w:rPr>
              <w:sym w:font="Wingdings 2" w:char="0052"/>
            </w:r>
            <w:r>
              <w:rPr>
                <w:rStyle w:val="7"/>
                <w:rFonts w:hint="default"/>
                <w:lang w:bidi="ar"/>
              </w:rPr>
              <w:t>股权融资</w:t>
            </w:r>
          </w:p>
        </w:tc>
      </w:tr>
      <w:tr>
        <w:tblPrEx>
          <w:tblCellMar>
            <w:top w:w="0" w:type="dxa"/>
            <w:left w:w="108" w:type="dxa"/>
            <w:bottom w:w="0" w:type="dxa"/>
            <w:right w:w="108" w:type="dxa"/>
          </w:tblCellMar>
        </w:tblPrEx>
        <w:trPr>
          <w:trHeight w:val="76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成果类型</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Wingdings" w:hAnsi="Wingdings" w:eastAsia="宋体" w:cs="Wingdings"/>
                <w:color w:val="000000"/>
                <w:sz w:val="24"/>
                <w:szCs w:val="24"/>
              </w:rPr>
            </w:pPr>
            <w:r>
              <w:rPr>
                <w:rFonts w:ascii="Wingdings" w:hAnsi="Wingdings" w:eastAsia="宋体" w:cs="Wingdings"/>
                <w:color w:val="000000"/>
                <w:kern w:val="0"/>
                <w:sz w:val="24"/>
                <w:szCs w:val="24"/>
                <w:lang w:bidi="ar"/>
              </w:rPr>
              <w:t>¨</w:t>
            </w:r>
            <w:r>
              <w:rPr>
                <w:rStyle w:val="7"/>
                <w:rFonts w:hint="default"/>
                <w:lang w:bidi="ar"/>
              </w:rPr>
              <w:t xml:space="preserve">发明专利   </w:t>
            </w:r>
            <w:r>
              <w:rPr>
                <w:rStyle w:val="8"/>
                <w:rFonts w:eastAsia="宋体"/>
                <w:lang w:bidi="ar"/>
              </w:rPr>
              <w:sym w:font="Wingdings" w:char="00FE"/>
            </w:r>
            <w:r>
              <w:rPr>
                <w:rStyle w:val="7"/>
                <w:rFonts w:hint="default"/>
                <w:lang w:bidi="ar"/>
              </w:rPr>
              <w:t xml:space="preserve">实用新型专利   </w:t>
            </w:r>
            <w:r>
              <w:rPr>
                <w:rStyle w:val="8"/>
                <w:rFonts w:eastAsia="宋体"/>
                <w:lang w:bidi="ar"/>
              </w:rPr>
              <w:sym w:font="Wingdings" w:char="00FE"/>
            </w:r>
            <w:r>
              <w:rPr>
                <w:rStyle w:val="7"/>
                <w:rFonts w:hint="default"/>
                <w:lang w:bidi="ar"/>
              </w:rPr>
              <w:t xml:space="preserve">软件著作权   </w:t>
            </w:r>
            <w:r>
              <w:rPr>
                <w:rStyle w:val="8"/>
                <w:rFonts w:eastAsia="宋体"/>
                <w:lang w:bidi="ar"/>
              </w:rPr>
              <w:t>¨</w:t>
            </w:r>
            <w:r>
              <w:rPr>
                <w:rStyle w:val="7"/>
                <w:rFonts w:hint="default"/>
                <w:lang w:bidi="ar"/>
              </w:rPr>
              <w:t xml:space="preserve">著作权  </w:t>
            </w:r>
            <w:r>
              <w:rPr>
                <w:rStyle w:val="8"/>
                <w:rFonts w:eastAsia="宋体"/>
                <w:lang w:bidi="ar"/>
              </w:rPr>
              <w:t>¨</w:t>
            </w:r>
            <w:r>
              <w:rPr>
                <w:rStyle w:val="7"/>
                <w:rFonts w:hint="default"/>
                <w:lang w:bidi="ar"/>
              </w:rPr>
              <w:t>商标权</w:t>
            </w:r>
            <w:r>
              <w:rPr>
                <w:rStyle w:val="8"/>
                <w:rFonts w:eastAsia="宋体"/>
                <w:lang w:bidi="ar"/>
              </w:rPr>
              <w:t xml:space="preserve"> </w:t>
            </w:r>
            <w:r>
              <w:rPr>
                <w:rStyle w:val="9"/>
                <w:lang w:bidi="ar"/>
              </w:rPr>
              <w:t>£</w:t>
            </w:r>
            <w:r>
              <w:rPr>
                <w:rStyle w:val="7"/>
                <w:rFonts w:hint="default"/>
                <w:lang w:bidi="ar"/>
              </w:rPr>
              <w:t>外观设计</w:t>
            </w:r>
            <w:r>
              <w:rPr>
                <w:rStyle w:val="8"/>
                <w:rFonts w:eastAsia="宋体"/>
                <w:lang w:bidi="ar"/>
              </w:rPr>
              <w:t xml:space="preserve"> </w:t>
            </w:r>
            <w:r>
              <w:rPr>
                <w:rStyle w:val="9"/>
                <w:lang w:bidi="ar"/>
              </w:rPr>
              <w:t>£</w:t>
            </w:r>
            <w:r>
              <w:rPr>
                <w:rStyle w:val="7"/>
                <w:rFonts w:hint="default"/>
                <w:lang w:bidi="ar"/>
              </w:rPr>
              <w:t xml:space="preserve">新技术   </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项目所处阶段</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Wingdings" w:hAnsi="Wingdings" w:eastAsia="宋体" w:cs="Wingdings"/>
                <w:color w:val="000000"/>
                <w:sz w:val="24"/>
                <w:szCs w:val="24"/>
              </w:rPr>
            </w:pPr>
            <w:r>
              <w:rPr>
                <w:rFonts w:ascii="Wingdings" w:hAnsi="Wingdings" w:eastAsia="宋体" w:cs="Wingdings"/>
                <w:color w:val="000000"/>
                <w:kern w:val="0"/>
                <w:sz w:val="24"/>
                <w:szCs w:val="24"/>
                <w:lang w:bidi="ar"/>
              </w:rPr>
              <w:sym w:font="Wingdings" w:char="00FE"/>
            </w:r>
            <w:r>
              <w:rPr>
                <w:rStyle w:val="7"/>
                <w:rFonts w:hint="default"/>
                <w:lang w:bidi="ar"/>
              </w:rPr>
              <w:t xml:space="preserve">种子期      </w:t>
            </w:r>
            <w:r>
              <w:rPr>
                <w:rStyle w:val="8"/>
                <w:rFonts w:eastAsia="宋体"/>
                <w:lang w:bidi="ar"/>
              </w:rPr>
              <w:t>¨</w:t>
            </w:r>
            <w:r>
              <w:rPr>
                <w:rStyle w:val="7"/>
                <w:rFonts w:hint="default"/>
                <w:lang w:bidi="ar"/>
              </w:rPr>
              <w:t xml:space="preserve">成长期     </w:t>
            </w:r>
            <w:r>
              <w:rPr>
                <w:rStyle w:val="8"/>
                <w:rFonts w:eastAsia="宋体"/>
                <w:lang w:bidi="ar"/>
              </w:rPr>
              <w:t>¨</w:t>
            </w:r>
            <w:r>
              <w:rPr>
                <w:rStyle w:val="7"/>
                <w:rFonts w:hint="default"/>
                <w:lang w:bidi="ar"/>
              </w:rPr>
              <w:t xml:space="preserve">成熟期   </w:t>
            </w:r>
            <w:r>
              <w:rPr>
                <w:rStyle w:val="8"/>
                <w:rFonts w:eastAsia="宋体"/>
                <w:lang w:bidi="ar"/>
              </w:rPr>
              <w:t>¨</w:t>
            </w:r>
            <w:r>
              <w:rPr>
                <w:rStyle w:val="7"/>
                <w:rFonts w:hint="default"/>
                <w:lang w:bidi="ar"/>
              </w:rPr>
              <w:t>Pre-IPO</w:t>
            </w:r>
          </w:p>
        </w:tc>
      </w:tr>
      <w:tr>
        <w:tblPrEx>
          <w:tblCellMar>
            <w:top w:w="0" w:type="dxa"/>
            <w:left w:w="108" w:type="dxa"/>
            <w:bottom w:w="0" w:type="dxa"/>
            <w:right w:w="108" w:type="dxa"/>
          </w:tblCellMar>
        </w:tblPrEx>
        <w:trPr>
          <w:trHeight w:val="6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本次融资轮次</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Wingdings" w:hAnsi="Wingdings" w:eastAsia="宋体" w:cs="Wingdings"/>
                <w:color w:val="000000"/>
                <w:sz w:val="24"/>
                <w:szCs w:val="24"/>
              </w:rPr>
            </w:pPr>
            <w:r>
              <w:rPr>
                <w:rFonts w:ascii="Wingdings" w:hAnsi="Wingdings" w:eastAsia="宋体" w:cs="Wingdings"/>
                <w:color w:val="000000"/>
                <w:kern w:val="0"/>
                <w:sz w:val="24"/>
                <w:szCs w:val="24"/>
                <w:lang w:bidi="ar"/>
              </w:rPr>
              <w:t>¨</w:t>
            </w:r>
            <w:r>
              <w:rPr>
                <w:rStyle w:val="7"/>
                <w:rFonts w:hint="default"/>
                <w:lang w:bidi="ar"/>
              </w:rPr>
              <w:t xml:space="preserve">天使   </w:t>
            </w:r>
            <w:r>
              <w:rPr>
                <w:rStyle w:val="8"/>
                <w:rFonts w:eastAsia="宋体"/>
                <w:lang w:bidi="ar"/>
              </w:rPr>
              <w:t>¨</w:t>
            </w:r>
            <w:r>
              <w:rPr>
                <w:rStyle w:val="7"/>
                <w:rFonts w:hint="default"/>
                <w:lang w:bidi="ar"/>
              </w:rPr>
              <w:t xml:space="preserve">Pre-A   </w:t>
            </w:r>
            <w:r>
              <w:rPr>
                <w:rStyle w:val="8"/>
                <w:rFonts w:eastAsia="宋体"/>
                <w:lang w:bidi="ar"/>
              </w:rPr>
              <w:t>¨</w:t>
            </w:r>
            <w:r>
              <w:rPr>
                <w:rStyle w:val="7"/>
                <w:rFonts w:hint="default"/>
                <w:lang w:bidi="ar"/>
              </w:rPr>
              <w:t xml:space="preserve">A轮   </w:t>
            </w:r>
            <w:r>
              <w:rPr>
                <w:rStyle w:val="8"/>
                <w:rFonts w:eastAsia="宋体"/>
                <w:lang w:bidi="ar"/>
              </w:rPr>
              <w:t>¨</w:t>
            </w:r>
            <w:r>
              <w:rPr>
                <w:rStyle w:val="7"/>
                <w:rFonts w:hint="default"/>
                <w:lang w:bidi="ar"/>
              </w:rPr>
              <w:t xml:space="preserve">B轮  </w:t>
            </w:r>
            <w:r>
              <w:rPr>
                <w:rStyle w:val="8"/>
                <w:rFonts w:eastAsia="宋体"/>
                <w:lang w:bidi="ar"/>
              </w:rPr>
              <w:t>¨</w:t>
            </w:r>
            <w:r>
              <w:rPr>
                <w:rStyle w:val="7"/>
                <w:rFonts w:hint="default"/>
                <w:lang w:bidi="ar"/>
              </w:rPr>
              <w:t xml:space="preserve">C轮及以上   </w:t>
            </w:r>
          </w:p>
        </w:tc>
      </w:tr>
      <w:tr>
        <w:tblPrEx>
          <w:tblCellMar>
            <w:top w:w="0" w:type="dxa"/>
            <w:left w:w="108" w:type="dxa"/>
            <w:bottom w:w="0" w:type="dxa"/>
            <w:right w:w="108" w:type="dxa"/>
          </w:tblCellMar>
        </w:tblPrEx>
        <w:trPr>
          <w:trHeight w:val="740" w:hRule="atLeast"/>
        </w:trPr>
        <w:tc>
          <w:tcPr>
            <w:tcW w:w="22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推广诉求（根据自身情况勾选，可多选）</w:t>
            </w:r>
          </w:p>
        </w:tc>
        <w:tc>
          <w:tcPr>
            <w:tcW w:w="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w:t>
            </w:r>
          </w:p>
        </w:tc>
        <w:tc>
          <w:tcPr>
            <w:tcW w:w="4540"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融资需求（融资需求请详细填写以下涉及融资的问题）</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72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szCs w:val="24"/>
              </w:rPr>
            </w:pPr>
          </w:p>
        </w:tc>
        <w:tc>
          <w:tcPr>
            <w:tcW w:w="805"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c>
          <w:tcPr>
            <w:tcW w:w="4540" w:type="dxa"/>
            <w:gridSpan w:val="2"/>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落地需求（意向区域：</w:t>
            </w:r>
            <w:r>
              <w:rPr>
                <w:rStyle w:val="11"/>
                <w:rFonts w:hint="default"/>
                <w:lang w:bidi="ar"/>
              </w:rPr>
              <w:t xml:space="preserve">                   </w:t>
            </w:r>
            <w:r>
              <w:rPr>
                <w:rStyle w:val="7"/>
                <w:rFonts w:hint="default"/>
                <w:lang w:bidi="ar"/>
              </w:rPr>
              <w:t>）</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78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szCs w:val="24"/>
              </w:rPr>
            </w:pPr>
          </w:p>
        </w:tc>
        <w:tc>
          <w:tcPr>
            <w:tcW w:w="2877"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c>
          <w:tcPr>
            <w:tcW w:w="2468"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应用场景需求（意向的行业或企业：</w:t>
            </w:r>
            <w:r>
              <w:rPr>
                <w:rStyle w:val="11"/>
                <w:rFonts w:hint="default"/>
                <w:lang w:bidi="ar"/>
              </w:rPr>
              <w:t xml:space="preserve">  </w:t>
            </w:r>
            <w:r>
              <w:rPr>
                <w:rStyle w:val="11"/>
                <w:rFonts w:hint="eastAsia" w:eastAsia="宋体"/>
                <w:lang w:val="en-US" w:eastAsia="zh-CN" w:bidi="ar"/>
              </w:rPr>
              <w:t>部队及科研院所</w:t>
            </w:r>
            <w:r>
              <w:rPr>
                <w:rStyle w:val="11"/>
                <w:rFonts w:hint="default"/>
                <w:lang w:bidi="ar"/>
              </w:rPr>
              <w:t xml:space="preserve">                 </w:t>
            </w:r>
            <w:r>
              <w:rPr>
                <w:rStyle w:val="7"/>
                <w:rFonts w:hint="default"/>
                <w:lang w:bidi="ar"/>
              </w:rPr>
              <w:t>）</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76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szCs w:val="24"/>
              </w:rPr>
            </w:pPr>
          </w:p>
        </w:tc>
        <w:tc>
          <w:tcPr>
            <w:tcW w:w="2877"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w:t>
            </w:r>
          </w:p>
        </w:tc>
        <w:tc>
          <w:tcPr>
            <w:tcW w:w="2468" w:type="dxa"/>
            <w:tcBorders>
              <w:top w:val="nil"/>
              <w:left w:val="single" w:color="000000" w:sz="8" w:space="0"/>
              <w:bottom w:val="single" w:color="000000" w:sz="8" w:space="0"/>
              <w:right w:val="single" w:color="000000" w:sz="8" w:space="0"/>
            </w:tcBorders>
            <w:shd w:val="clear" w:color="auto" w:fill="auto"/>
            <w:vAlign w:val="center"/>
          </w:tcPr>
          <w:p>
            <w:pPr>
              <w:widowControl/>
              <w:jc w:val="left"/>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其他（请根据情况填写：</w:t>
            </w:r>
            <w:r>
              <w:rPr>
                <w:rStyle w:val="11"/>
                <w:rFonts w:hint="default"/>
                <w:lang w:bidi="ar"/>
              </w:rPr>
              <w:t xml:space="preserve">   </w:t>
            </w:r>
            <w:r>
              <w:rPr>
                <w:rStyle w:val="11"/>
                <w:rFonts w:hint="eastAsia" w:eastAsia="宋体"/>
                <w:lang w:val="en-US" w:eastAsia="zh-CN" w:bidi="ar"/>
              </w:rPr>
              <w:t>无</w:t>
            </w:r>
            <w:r>
              <w:rPr>
                <w:rStyle w:val="11"/>
                <w:rFonts w:hint="default"/>
                <w:lang w:bidi="ar"/>
              </w:rPr>
              <w:t xml:space="preserve">                     </w:t>
            </w:r>
            <w:r>
              <w:rPr>
                <w:rStyle w:val="7"/>
                <w:rFonts w:hint="default"/>
                <w:lang w:bidi="ar"/>
              </w:rPr>
              <w:t>）</w:t>
            </w:r>
          </w:p>
        </w:tc>
        <w:tc>
          <w:tcPr>
            <w:tcW w:w="3110" w:type="dxa"/>
            <w:gridSpan w:val="3"/>
            <w:tcBorders>
              <w:top w:val="nil"/>
              <w:left w:val="single" w:color="000000" w:sz="8" w:space="0"/>
              <w:bottom w:val="single" w:color="000000" w:sz="8" w:space="0"/>
              <w:right w:val="single" w:color="000000" w:sz="8"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22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企业简介和项目</w:t>
            </w:r>
          </w:p>
        </w:tc>
        <w:tc>
          <w:tcPr>
            <w:tcW w:w="8455" w:type="dxa"/>
            <w:gridSpan w:val="6"/>
            <w:tcBorders>
              <w:top w:val="nil"/>
              <w:left w:val="nil"/>
              <w:bottom w:val="single" w:color="000000" w:sz="8" w:space="0"/>
              <w:right w:val="single" w:color="000000" w:sz="8" w:space="0"/>
            </w:tcBorders>
            <w:shd w:val="clear" w:color="auto" w:fill="auto"/>
            <w:vAlign w:val="center"/>
          </w:tcPr>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       天津可宏振星光电科技有限公司是专业从事测控与指控技术开发、高端光机电装备产品研制的高新技术企业。</w:t>
            </w:r>
          </w:p>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   主要为导弹制导探测系统、陆空载具光电观瞄跟踪设备和人机交互设备提供相关光电、机电产品配套和测试试验保障设备与服务。</w:t>
            </w:r>
          </w:p>
          <w:p>
            <w:pPr>
              <w:widowControl/>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 xml:space="preserve">   累计获得专利授权数十项，国家级奖项一次，天津市奖项两次。</w:t>
            </w:r>
          </w:p>
          <w:p>
            <w:pPr>
              <w:widowControl/>
              <w:ind w:firstLine="480" w:firstLineChars="200"/>
              <w:textAlignment w:val="center"/>
              <w:rPr>
                <w:rFonts w:hint="eastAsia" w:ascii="宋体" w:hAnsi="宋体" w:eastAsia="宋体" w:cs="宋体"/>
                <w:color w:val="000000"/>
                <w:sz w:val="24"/>
                <w:szCs w:val="24"/>
              </w:rPr>
            </w:pPr>
            <w:r>
              <w:rPr>
                <w:rFonts w:hint="eastAsia" w:ascii="宋体" w:hAnsi="宋体" w:eastAsia="宋体" w:cs="宋体"/>
                <w:color w:val="000000"/>
                <w:sz w:val="24"/>
                <w:szCs w:val="24"/>
              </w:rPr>
              <w:t>公司研发的</w:t>
            </w:r>
            <w:r>
              <w:rPr>
                <w:rFonts w:hint="eastAsia" w:ascii="宋体" w:hAnsi="宋体" w:eastAsia="宋体" w:cs="宋体"/>
                <w:color w:val="000000"/>
                <w:sz w:val="24"/>
                <w:szCs w:val="24"/>
                <w:lang w:val="en-US" w:eastAsia="zh-CN"/>
              </w:rPr>
              <w:t>特种装备的人机功效评测</w:t>
            </w:r>
            <w:r>
              <w:rPr>
                <w:rFonts w:hint="eastAsia" w:ascii="宋体" w:hAnsi="宋体" w:eastAsia="宋体" w:cs="宋体"/>
                <w:color w:val="000000"/>
                <w:sz w:val="24"/>
                <w:szCs w:val="24"/>
              </w:rPr>
              <w:t>系统是面向装备试验和训练的一站式解决方案。以多</w:t>
            </w:r>
            <w:bookmarkStart w:id="0" w:name="_GoBack"/>
            <w:bookmarkEnd w:id="0"/>
            <w:r>
              <w:rPr>
                <w:rFonts w:hint="eastAsia" w:ascii="宋体" w:hAnsi="宋体" w:eastAsia="宋体" w:cs="宋体"/>
                <w:color w:val="000000"/>
                <w:sz w:val="24"/>
                <w:szCs w:val="24"/>
              </w:rPr>
              <w:t>源数据无损采集、智能处理与识别、数据挖掘分析与评估作为核心，实现对作战试验数据的测得到、测得准、评价可靠。</w:t>
            </w:r>
          </w:p>
          <w:p>
            <w:pPr>
              <w:widowControl/>
              <w:textAlignment w:val="center"/>
              <w:rPr>
                <w:rFonts w:ascii="宋体" w:hAnsi="宋体" w:eastAsia="宋体" w:cs="宋体"/>
                <w:color w:val="000000"/>
                <w:sz w:val="24"/>
                <w:szCs w:val="24"/>
              </w:rPr>
            </w:pPr>
          </w:p>
        </w:tc>
      </w:tr>
      <w:tr>
        <w:tblPrEx>
          <w:tblCellMar>
            <w:top w:w="0" w:type="dxa"/>
            <w:left w:w="108" w:type="dxa"/>
            <w:bottom w:w="0" w:type="dxa"/>
            <w:right w:w="108" w:type="dxa"/>
          </w:tblCellMar>
        </w:tblPrEx>
        <w:trPr>
          <w:trHeight w:val="1892"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主要产品与服务</w:t>
            </w:r>
          </w:p>
        </w:tc>
        <w:tc>
          <w:tcPr>
            <w:tcW w:w="8455" w:type="dxa"/>
            <w:gridSpan w:val="6"/>
            <w:tcBorders>
              <w:top w:val="nil"/>
              <w:left w:val="nil"/>
              <w:bottom w:val="single" w:color="000000" w:sz="8" w:space="0"/>
              <w:right w:val="single" w:color="000000" w:sz="8" w:space="0"/>
            </w:tcBorders>
            <w:shd w:val="clear" w:color="auto" w:fill="auto"/>
            <w:vAlign w:val="center"/>
          </w:tcPr>
          <w:p>
            <w:pPr>
              <w:snapToGrid w:val="0"/>
              <w:spacing w:line="360" w:lineRule="auto"/>
              <w:jc w:val="left"/>
              <w:rPr>
                <w:rFonts w:hint="eastAsia" w:ascii="宋体" w:hAnsi="宋体" w:eastAsia="宋体" w:cs="Times New Roman"/>
                <w:szCs w:val="21"/>
                <w:lang w:val="en-US" w:eastAsia="zh-CN"/>
              </w:rPr>
            </w:pPr>
            <w:r>
              <w:rPr>
                <w:rFonts w:hint="eastAsia" w:ascii="宋体" w:hAnsi="宋体" w:eastAsia="宋体"/>
                <w:b/>
                <w:bCs/>
                <w:szCs w:val="21"/>
              </w:rPr>
              <w:t>一、</w:t>
            </w:r>
            <w:r>
              <w:rPr>
                <w:rFonts w:hint="eastAsia" w:ascii="宋体" w:hAnsi="宋体" w:eastAsia="宋体"/>
                <w:b/>
                <w:bCs/>
                <w:szCs w:val="21"/>
                <w:lang w:val="en-US" w:eastAsia="zh-CN"/>
              </w:rPr>
              <w:t>产品背景</w:t>
            </w:r>
            <w:r>
              <w:rPr>
                <w:rFonts w:hint="eastAsia" w:ascii="宋体" w:hAnsi="宋体" w:eastAsia="宋体"/>
                <w:b/>
                <w:bCs/>
                <w:szCs w:val="21"/>
              </w:rPr>
              <w:t>：</w:t>
            </w:r>
          </w:p>
          <w:p>
            <w:pPr>
              <w:snapToGrid w:val="0"/>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随着“十四五”对国防军队的战略部署要求和“工业4.0”时代的到来，智能化、复杂化的大型设备势必会迎来井喷式生产。这其中，特种装备的研发与使用在军工部门，工信部、国有企业，民营企业中均有广泛涉及。特种装备通常是指武器装备、轨道交通装备、光电设备、工程机械设备、航空航天装备以及应急安全装备等专业性较强、危险性较高的基础性装备。这种特种装备对于工作人员的操作水平要求极高，对于装备的测试与管理要求极其严格，但当前对于新产品的研发和在役装备的故障诊断通常是依靠专家通过自己的主观判断来提出研发建议，或依靠有经验的工作人员来确定装备的状态，并进行故障诊断与维修。目前尚没有一种科学的通用评估指标体系来对特种装备的人机功效进行评测，也没有出现相关技术研究和商业产品，具有很大的市场空间和缺口。</w:t>
            </w:r>
          </w:p>
          <w:p>
            <w:pPr>
              <w:snapToGrid w:val="0"/>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针对上述情况，我公司从特种装备研发过程中人机交互的设计优化和对在役特种装备的安全监管、风险评估及升级改造等方面入手，研究特种装备产品人机功效评测新技术，提出通用性人机交互新技术，使之适用于军事、应急、安防、巡检、光电、交通、科学探索等领域特种装备的人机功效评测。研制集数据采集传输、处理识别与统计分析于一体的智能化评测软件，该软件不仅可以用评测报告的形式来解决新研发产品人机交互存在的问题及在役特种装备在运行过程中的状态监测，同时可以用于相关工作人员的技术培训及统计数据的延伸使用当中。该技术及其孵化的产品可广泛应用于军事、应急、安防、巡检、科学探索等领域的多种特种设备的评测，具有广泛的市场潜力，市场价值巨大。</w:t>
            </w:r>
          </w:p>
          <w:p>
            <w:pPr>
              <w:snapToGrid w:val="0"/>
              <w:spacing w:line="360" w:lineRule="auto"/>
              <w:jc w:val="left"/>
              <w:rPr>
                <w:rFonts w:hint="eastAsia" w:ascii="宋体" w:hAnsi="宋体" w:eastAsia="宋体" w:cs="Times New Roman"/>
                <w:szCs w:val="21"/>
                <w:lang w:val="en-US" w:eastAsia="zh-CN"/>
              </w:rPr>
            </w:pPr>
            <w:r>
              <w:rPr>
                <w:rFonts w:hint="eastAsia" w:ascii="宋体" w:hAnsi="宋体" w:eastAsia="宋体"/>
                <w:b/>
                <w:bCs/>
                <w:szCs w:val="21"/>
                <w:lang w:val="en-US" w:eastAsia="zh-CN"/>
              </w:rPr>
              <w:t>二</w:t>
            </w:r>
            <w:r>
              <w:rPr>
                <w:rFonts w:hint="eastAsia" w:ascii="宋体" w:hAnsi="宋体" w:eastAsia="宋体"/>
                <w:b/>
                <w:bCs/>
                <w:szCs w:val="21"/>
              </w:rPr>
              <w:t>、核心技术：</w:t>
            </w:r>
          </w:p>
          <w:p>
            <w:pPr>
              <w:snapToGrid w:val="0"/>
              <w:spacing w:line="360" w:lineRule="auto"/>
              <w:ind w:firstLine="420" w:firstLineChars="200"/>
              <w:jc w:val="left"/>
              <w:rPr>
                <w:rFonts w:hint="eastAsia" w:ascii="宋体" w:hAnsi="宋体" w:eastAsia="宋体"/>
                <w:szCs w:val="21"/>
              </w:rPr>
            </w:pPr>
            <w:r>
              <w:rPr>
                <w:rFonts w:hint="eastAsia" w:ascii="宋体" w:hAnsi="宋体" w:eastAsia="宋体"/>
                <w:szCs w:val="21"/>
              </w:rPr>
              <w:t>主要开展</w:t>
            </w:r>
            <w:r>
              <w:rPr>
                <w:rFonts w:hint="eastAsia" w:ascii="宋体" w:hAnsi="宋体" w:eastAsia="宋体"/>
                <w:szCs w:val="21"/>
                <w:lang w:val="en-US" w:eastAsia="zh-CN"/>
              </w:rPr>
              <w:t>特种装备产品人机功效评测技术</w:t>
            </w:r>
            <w:r>
              <w:rPr>
                <w:rFonts w:hint="eastAsia" w:ascii="宋体" w:hAnsi="宋体" w:eastAsia="宋体"/>
                <w:szCs w:val="21"/>
              </w:rPr>
              <w:t>研究、</w:t>
            </w:r>
            <w:r>
              <w:rPr>
                <w:rFonts w:hint="eastAsia" w:ascii="宋体" w:hAnsi="宋体" w:eastAsia="宋体"/>
                <w:szCs w:val="21"/>
                <w:lang w:val="en-US" w:eastAsia="zh-CN"/>
              </w:rPr>
              <w:t>多源数据采集与信息融合技术</w:t>
            </w:r>
            <w:r>
              <w:rPr>
                <w:rFonts w:hint="eastAsia" w:ascii="宋体" w:hAnsi="宋体" w:eastAsia="宋体"/>
                <w:szCs w:val="21"/>
              </w:rPr>
              <w:t>研究、</w:t>
            </w:r>
            <w:r>
              <w:rPr>
                <w:rFonts w:hint="eastAsia" w:ascii="宋体" w:hAnsi="宋体" w:eastAsia="宋体"/>
                <w:szCs w:val="21"/>
                <w:lang w:val="en-US" w:eastAsia="zh-CN"/>
              </w:rPr>
              <w:t>基于深度学习的数据处理与识别技术研究、基于数据挖掘的统计与分析评估技术研究及多路数据时统技术研究</w:t>
            </w:r>
            <w:r>
              <w:rPr>
                <w:rFonts w:hint="eastAsia" w:ascii="宋体" w:hAnsi="宋体" w:eastAsia="宋体"/>
                <w:szCs w:val="21"/>
              </w:rPr>
              <w:t>。</w:t>
            </w:r>
          </w:p>
          <w:p>
            <w:pPr>
              <w:snapToGrid w:val="0"/>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1、多源数据无损采集与信息融合技术；</w:t>
            </w:r>
          </w:p>
          <w:p>
            <w:pPr>
              <w:snapToGrid w:val="0"/>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2、基于深度学习的音视频数据智能处理与识别技术；</w:t>
            </w:r>
          </w:p>
          <w:p>
            <w:pPr>
              <w:snapToGrid w:val="0"/>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3、基于数据挖掘的采集数据统计与分析评估技术；</w:t>
            </w:r>
          </w:p>
          <w:p>
            <w:pPr>
              <w:snapToGrid w:val="0"/>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4、多路数据分布式协同时统技术；</w:t>
            </w:r>
          </w:p>
          <w:p>
            <w:pPr>
              <w:snapToGrid w:val="0"/>
              <w:spacing w:line="360" w:lineRule="auto"/>
              <w:ind w:firstLine="420" w:firstLineChars="200"/>
              <w:jc w:val="left"/>
              <w:rPr>
                <w:rFonts w:hint="eastAsia" w:ascii="宋体" w:hAnsi="宋体" w:eastAsia="宋体"/>
                <w:szCs w:val="21"/>
              </w:rPr>
            </w:pPr>
            <w:r>
              <w:rPr>
                <w:rFonts w:hint="eastAsia" w:ascii="宋体" w:hAnsi="宋体" w:eastAsia="宋体"/>
                <w:szCs w:val="21"/>
              </w:rPr>
              <w:t>由本产品主要应用于</w:t>
            </w:r>
            <w:r>
              <w:rPr>
                <w:rFonts w:hint="eastAsia" w:ascii="宋体" w:hAnsi="宋体" w:eastAsia="宋体"/>
                <w:szCs w:val="21"/>
                <w:lang w:val="en-US" w:eastAsia="zh-CN"/>
              </w:rPr>
              <w:t>特种装备新产品上市前和在役特种装备健康度评估</w:t>
            </w:r>
            <w:r>
              <w:rPr>
                <w:rFonts w:hint="eastAsia" w:ascii="宋体" w:hAnsi="宋体" w:eastAsia="宋体"/>
                <w:szCs w:val="21"/>
              </w:rPr>
              <w:t>等相关</w:t>
            </w:r>
            <w:r>
              <w:rPr>
                <w:rFonts w:hint="eastAsia" w:ascii="宋体" w:hAnsi="宋体" w:eastAsia="宋体"/>
                <w:szCs w:val="21"/>
                <w:lang w:val="en-US" w:eastAsia="zh-CN"/>
              </w:rPr>
              <w:t>特种装备的人机功效评测</w:t>
            </w:r>
            <w:r>
              <w:rPr>
                <w:rFonts w:hint="eastAsia" w:ascii="宋体" w:hAnsi="宋体" w:eastAsia="宋体"/>
                <w:szCs w:val="21"/>
              </w:rPr>
              <w:t>，</w:t>
            </w:r>
            <w:r>
              <w:rPr>
                <w:rFonts w:hint="eastAsia" w:ascii="宋体" w:hAnsi="宋体" w:eastAsia="宋体"/>
                <w:szCs w:val="21"/>
                <w:lang w:val="en-US" w:eastAsia="zh-CN"/>
              </w:rPr>
              <w:t>特种装备</w:t>
            </w:r>
            <w:r>
              <w:rPr>
                <w:rFonts w:hint="eastAsia" w:ascii="宋体" w:hAnsi="宋体" w:eastAsia="宋体"/>
                <w:szCs w:val="21"/>
              </w:rPr>
              <w:t>按应用可分为军用</w:t>
            </w:r>
            <w:r>
              <w:rPr>
                <w:rFonts w:hint="eastAsia" w:ascii="宋体" w:hAnsi="宋体" w:eastAsia="宋体"/>
                <w:szCs w:val="21"/>
                <w:lang w:val="en-US" w:eastAsia="zh-CN"/>
              </w:rPr>
              <w:t>特种装备和</w:t>
            </w:r>
            <w:r>
              <w:rPr>
                <w:rFonts w:hint="eastAsia" w:ascii="宋体" w:hAnsi="宋体" w:eastAsia="宋体"/>
                <w:szCs w:val="21"/>
              </w:rPr>
              <w:t>民用</w:t>
            </w:r>
            <w:r>
              <w:rPr>
                <w:rFonts w:hint="eastAsia" w:ascii="宋体" w:hAnsi="宋体" w:eastAsia="宋体"/>
                <w:szCs w:val="21"/>
                <w:lang w:val="en-US" w:eastAsia="zh-CN"/>
              </w:rPr>
              <w:t>特种装备</w:t>
            </w:r>
            <w:r>
              <w:rPr>
                <w:rFonts w:hint="eastAsia" w:ascii="宋体" w:hAnsi="宋体" w:eastAsia="宋体"/>
                <w:szCs w:val="21"/>
              </w:rPr>
              <w:t>。从需求来看，</w:t>
            </w:r>
            <w:r>
              <w:rPr>
                <w:rFonts w:hint="eastAsia" w:ascii="宋体" w:hAnsi="宋体" w:eastAsia="宋体"/>
                <w:szCs w:val="21"/>
                <w:lang w:val="en-US" w:eastAsia="zh-CN"/>
              </w:rPr>
              <w:t>军用特种装备评测需求较大，军队的作战试验领域主要是对军用新产品和在役武器装备进行作战效能及适用性评估，急需一套科学的评测体系对武器装备进行人机功效评测。民用特种装备呈现对于在役设备的整体健康度评价和零部件的磨损预测，通过对在役特种设备的风险管控来实现设备的故障诊断与维修指导。</w:t>
            </w:r>
            <w:r>
              <w:rPr>
                <w:rFonts w:hint="eastAsia" w:ascii="宋体" w:hAnsi="宋体" w:eastAsia="宋体"/>
                <w:szCs w:val="21"/>
              </w:rPr>
              <w:t>从供给端来看，类比机器人，处于“微笑曲线”两端的军用无人终端研制、飞控系统、关键零部件制造以及终端应用服务将是</w:t>
            </w:r>
            <w:r>
              <w:rPr>
                <w:rFonts w:hint="eastAsia" w:ascii="宋体" w:hAnsi="宋体" w:eastAsia="宋体"/>
                <w:szCs w:val="21"/>
                <w:lang w:val="en-US" w:eastAsia="zh-CN"/>
              </w:rPr>
              <w:t>武器装备评测</w:t>
            </w:r>
            <w:r>
              <w:rPr>
                <w:rFonts w:hint="eastAsia" w:ascii="宋体" w:hAnsi="宋体" w:eastAsia="宋体"/>
                <w:szCs w:val="21"/>
              </w:rPr>
              <w:t>终端产业链中附加值和壁垒最高，并且最值得看好的领域。</w:t>
            </w:r>
          </w:p>
          <w:p>
            <w:pPr>
              <w:snapToGrid w:val="0"/>
              <w:spacing w:line="360" w:lineRule="auto"/>
              <w:ind w:firstLine="420" w:firstLineChars="200"/>
              <w:jc w:val="left"/>
              <w:rPr>
                <w:rFonts w:hint="eastAsia" w:ascii="宋体" w:hAnsi="宋体" w:eastAsia="宋体"/>
                <w:szCs w:val="21"/>
              </w:rPr>
            </w:pPr>
            <w:r>
              <w:rPr>
                <w:rFonts w:hint="eastAsia" w:ascii="宋体" w:hAnsi="宋体" w:eastAsia="宋体"/>
                <w:szCs w:val="21"/>
              </w:rPr>
              <w:t>该类</w:t>
            </w:r>
            <w:r>
              <w:rPr>
                <w:rFonts w:hint="eastAsia" w:ascii="宋体" w:hAnsi="宋体" w:eastAsia="宋体"/>
                <w:szCs w:val="21"/>
                <w:lang w:val="en-US" w:eastAsia="zh-CN"/>
              </w:rPr>
              <w:t>特种装备</w:t>
            </w:r>
            <w:r>
              <w:rPr>
                <w:rFonts w:hint="eastAsia" w:ascii="宋体" w:hAnsi="宋体" w:eastAsia="宋体"/>
                <w:szCs w:val="21"/>
              </w:rPr>
              <w:t>的人机交互</w:t>
            </w:r>
            <w:r>
              <w:rPr>
                <w:rFonts w:hint="eastAsia" w:ascii="宋体" w:hAnsi="宋体" w:eastAsia="宋体"/>
                <w:szCs w:val="21"/>
                <w:lang w:val="en-US" w:eastAsia="zh-CN"/>
              </w:rPr>
              <w:t>与功效评测</w:t>
            </w:r>
            <w:r>
              <w:rPr>
                <w:rFonts w:hint="eastAsia" w:ascii="宋体" w:hAnsi="宋体" w:eastAsia="宋体"/>
                <w:szCs w:val="21"/>
              </w:rPr>
              <w:t>目前在研</w:t>
            </w:r>
            <w:r>
              <w:rPr>
                <w:rFonts w:hint="eastAsia" w:ascii="宋体" w:hAnsi="宋体" w:eastAsia="宋体"/>
                <w:szCs w:val="21"/>
                <w:lang w:val="en-US" w:eastAsia="zh-CN"/>
              </w:rPr>
              <w:t>发</w:t>
            </w:r>
            <w:r>
              <w:rPr>
                <w:rFonts w:hint="eastAsia" w:ascii="宋体" w:hAnsi="宋体" w:eastAsia="宋体"/>
                <w:szCs w:val="21"/>
              </w:rPr>
              <w:t>过程中属于非标准化与定制化产品。随着产品的生命周期和开发周期日益缩短，客户的要求越来越苛刻，产品功能越来越复杂，该产品的研</w:t>
            </w:r>
            <w:r>
              <w:rPr>
                <w:rFonts w:hint="eastAsia" w:ascii="宋体" w:hAnsi="宋体" w:eastAsia="宋体"/>
                <w:szCs w:val="21"/>
                <w:lang w:val="en-US" w:eastAsia="zh-CN"/>
              </w:rPr>
              <w:t>发</w:t>
            </w:r>
            <w:r>
              <w:rPr>
                <w:rFonts w:hint="eastAsia" w:ascii="宋体" w:hAnsi="宋体" w:eastAsia="宋体"/>
                <w:szCs w:val="21"/>
              </w:rPr>
              <w:t>生产有以下策略：模块化的标准产品，满足差异化的用户需求。</w:t>
            </w:r>
          </w:p>
          <w:p>
            <w:pPr>
              <w:snapToGrid w:val="0"/>
              <w:spacing w:line="360" w:lineRule="auto"/>
              <w:ind w:firstLine="420" w:firstLineChars="200"/>
              <w:jc w:val="left"/>
              <w:rPr>
                <w:rFonts w:hint="eastAsia" w:ascii="宋体" w:hAnsi="宋体" w:eastAsia="宋体"/>
                <w:szCs w:val="21"/>
              </w:rPr>
            </w:pPr>
            <w:r>
              <w:rPr>
                <w:rFonts w:hint="eastAsia" w:ascii="宋体" w:hAnsi="宋体" w:eastAsia="宋体"/>
                <w:szCs w:val="21"/>
              </w:rPr>
              <w:t>1、围绕标准化技术进行定制化服务，</w:t>
            </w:r>
            <w:r>
              <w:rPr>
                <w:rFonts w:hint="eastAsia" w:ascii="宋体" w:hAnsi="宋体" w:eastAsia="宋体"/>
                <w:szCs w:val="21"/>
                <w:lang w:val="en-US" w:eastAsia="zh-CN"/>
              </w:rPr>
              <w:t>当前尚没有一种通用的科学的特种装备评测指标体系</w:t>
            </w:r>
            <w:r>
              <w:rPr>
                <w:rFonts w:hint="eastAsia" w:ascii="宋体" w:hAnsi="宋体" w:eastAsia="宋体"/>
                <w:szCs w:val="21"/>
              </w:rPr>
              <w:t>，</w:t>
            </w:r>
            <w:r>
              <w:rPr>
                <w:rFonts w:hint="eastAsia" w:ascii="宋体" w:hAnsi="宋体" w:eastAsia="宋体"/>
                <w:szCs w:val="21"/>
                <w:lang w:val="en-US" w:eastAsia="zh-CN"/>
              </w:rPr>
              <w:t>因此</w:t>
            </w:r>
            <w:r>
              <w:rPr>
                <w:rFonts w:hint="eastAsia" w:ascii="宋体" w:hAnsi="宋体" w:eastAsia="宋体"/>
                <w:szCs w:val="21"/>
              </w:rPr>
              <w:t>可以围绕特定产量较大的</w:t>
            </w:r>
            <w:r>
              <w:rPr>
                <w:rFonts w:hint="eastAsia" w:ascii="宋体" w:hAnsi="宋体" w:eastAsia="宋体"/>
                <w:szCs w:val="21"/>
                <w:lang w:val="en-US" w:eastAsia="zh-CN"/>
              </w:rPr>
              <w:t>军队作战试验</w:t>
            </w:r>
            <w:r>
              <w:rPr>
                <w:rFonts w:hint="eastAsia" w:ascii="宋体" w:hAnsi="宋体" w:eastAsia="宋体"/>
                <w:szCs w:val="21"/>
              </w:rPr>
              <w:t>及</w:t>
            </w:r>
            <w:r>
              <w:rPr>
                <w:rFonts w:hint="eastAsia" w:ascii="宋体" w:hAnsi="宋体" w:eastAsia="宋体"/>
                <w:szCs w:val="21"/>
                <w:lang w:val="en-US" w:eastAsia="zh-CN"/>
              </w:rPr>
              <w:t>军用特种设备</w:t>
            </w:r>
            <w:r>
              <w:rPr>
                <w:rFonts w:hint="eastAsia" w:ascii="宋体" w:hAnsi="宋体" w:eastAsia="宋体"/>
                <w:szCs w:val="21"/>
              </w:rPr>
              <w:t>产品组合在一起，并提供定制化服务，以满足客户个性化要求。同时可根据现有合作单位的需求，为特种</w:t>
            </w:r>
            <w:r>
              <w:rPr>
                <w:rFonts w:hint="eastAsia" w:ascii="宋体" w:hAnsi="宋体" w:eastAsia="宋体"/>
                <w:szCs w:val="21"/>
                <w:lang w:val="en-US" w:eastAsia="zh-CN"/>
              </w:rPr>
              <w:t>设备</w:t>
            </w:r>
            <w:r>
              <w:rPr>
                <w:rFonts w:hint="eastAsia" w:ascii="宋体" w:hAnsi="宋体" w:eastAsia="宋体"/>
                <w:szCs w:val="21"/>
              </w:rPr>
              <w:t>人机交互</w:t>
            </w:r>
            <w:r>
              <w:rPr>
                <w:rFonts w:hint="eastAsia" w:ascii="宋体" w:hAnsi="宋体" w:eastAsia="宋体"/>
                <w:szCs w:val="21"/>
                <w:lang w:val="en-US" w:eastAsia="zh-CN"/>
              </w:rPr>
              <w:t>与功效评测</w:t>
            </w:r>
            <w:r>
              <w:rPr>
                <w:rFonts w:hint="eastAsia" w:ascii="宋体" w:hAnsi="宋体" w:eastAsia="宋体"/>
                <w:szCs w:val="21"/>
              </w:rPr>
              <w:t>提供定制化服务，提升产品规模及影响力。</w:t>
            </w:r>
          </w:p>
          <w:p>
            <w:pPr>
              <w:snapToGrid w:val="0"/>
              <w:spacing w:line="360" w:lineRule="auto"/>
              <w:ind w:firstLine="420" w:firstLineChars="200"/>
              <w:jc w:val="left"/>
              <w:rPr>
                <w:rFonts w:hint="eastAsia" w:ascii="宋体" w:hAnsi="宋体" w:eastAsia="宋体"/>
                <w:szCs w:val="21"/>
              </w:rPr>
            </w:pPr>
            <w:r>
              <w:rPr>
                <w:rFonts w:hint="eastAsia" w:ascii="宋体" w:hAnsi="宋体" w:eastAsia="宋体"/>
                <w:szCs w:val="21"/>
              </w:rPr>
              <w:t>2、实现大规模定制的最好办法是建立能配置成多种最终产品的模块化架构，提供标准化零部件的定制化不仅能增加产品多样化，同时也能降低制造成本，使得进行全新设计的产品开发和增加品种的变型设计速度更快。如设计通用型</w:t>
            </w:r>
            <w:r>
              <w:rPr>
                <w:rFonts w:hint="eastAsia" w:ascii="宋体" w:hAnsi="宋体" w:eastAsia="宋体"/>
                <w:szCs w:val="21"/>
                <w:lang w:val="en-US" w:eastAsia="zh-CN"/>
              </w:rPr>
              <w:t>特种设备评估</w:t>
            </w:r>
            <w:r>
              <w:rPr>
                <w:rFonts w:hint="eastAsia" w:ascii="宋体" w:hAnsi="宋体" w:eastAsia="宋体"/>
                <w:szCs w:val="21"/>
              </w:rPr>
              <w:t>模块、设计系列化地面终端，满足不同客户多元化需求，提升产品生产效率。</w:t>
            </w:r>
          </w:p>
          <w:p>
            <w:pPr>
              <w:snapToGrid w:val="0"/>
              <w:spacing w:line="360" w:lineRule="auto"/>
              <w:ind w:firstLine="420" w:firstLineChars="200"/>
              <w:jc w:val="left"/>
              <w:rPr>
                <w:rFonts w:hint="eastAsia" w:ascii="宋体" w:hAnsi="宋体" w:eastAsia="宋体"/>
                <w:szCs w:val="21"/>
              </w:rPr>
            </w:pPr>
            <w:r>
              <w:rPr>
                <w:rFonts w:hint="eastAsia" w:ascii="宋体" w:hAnsi="宋体" w:eastAsia="宋体"/>
                <w:szCs w:val="21"/>
              </w:rPr>
              <w:t>行业的下游客户多为部队、科研院所、</w:t>
            </w:r>
            <w:r>
              <w:rPr>
                <w:rFonts w:hint="eastAsia" w:ascii="宋体" w:hAnsi="宋体" w:eastAsia="宋体"/>
                <w:szCs w:val="21"/>
                <w:lang w:val="en-US" w:eastAsia="zh-CN"/>
              </w:rPr>
              <w:t>特种装备</w:t>
            </w:r>
            <w:r>
              <w:rPr>
                <w:rFonts w:hint="eastAsia" w:ascii="宋体" w:hAnsi="宋体" w:eastAsia="宋体"/>
                <w:szCs w:val="21"/>
              </w:rPr>
              <w:t>厂商等。行业产品应用属于模块化标准产品，客户需求各有不同，需要随时跟进客户需求，对产品功能和指标等进行调节。同时涉及部队与科研院所等客户群体，对于产品有高可靠性、稳定性的要求。</w:t>
            </w:r>
          </w:p>
          <w:p>
            <w:pPr>
              <w:snapToGrid w:val="0"/>
              <w:spacing w:line="360" w:lineRule="auto"/>
              <w:jc w:val="left"/>
              <w:rPr>
                <w:rFonts w:hint="eastAsia" w:ascii="宋体" w:hAnsi="宋体" w:eastAsia="宋体"/>
                <w:b/>
                <w:bCs/>
                <w:szCs w:val="21"/>
              </w:rPr>
            </w:pPr>
            <w:r>
              <w:rPr>
                <w:rFonts w:hint="eastAsia" w:ascii="宋体" w:hAnsi="宋体" w:eastAsia="宋体"/>
                <w:b/>
                <w:bCs/>
                <w:szCs w:val="21"/>
                <w:lang w:val="en-US" w:eastAsia="zh-CN"/>
              </w:rPr>
              <w:t>三</w:t>
            </w:r>
            <w:r>
              <w:rPr>
                <w:rFonts w:hint="eastAsia" w:ascii="宋体" w:hAnsi="宋体" w:eastAsia="宋体"/>
                <w:b/>
                <w:bCs/>
                <w:szCs w:val="21"/>
              </w:rPr>
              <w:t>、产品技术创新点</w:t>
            </w:r>
          </w:p>
          <w:p>
            <w:pPr>
              <w:snapToGrid w:val="0"/>
              <w:spacing w:line="360" w:lineRule="auto"/>
              <w:ind w:firstLine="422" w:firstLineChars="200"/>
              <w:jc w:val="left"/>
              <w:rPr>
                <w:rFonts w:hint="eastAsia" w:ascii="宋体" w:hAnsi="宋体" w:eastAsia="宋体"/>
                <w:b/>
                <w:bCs/>
                <w:szCs w:val="21"/>
              </w:rPr>
            </w:pPr>
            <w:r>
              <w:rPr>
                <w:rFonts w:hint="eastAsia" w:ascii="宋体" w:hAnsi="宋体" w:eastAsia="宋体"/>
                <w:b/>
                <w:bCs/>
                <w:szCs w:val="21"/>
              </w:rPr>
              <w:t>1）主要创新点：</w:t>
            </w:r>
          </w:p>
          <w:p>
            <w:pPr>
              <w:snapToGrid w:val="0"/>
              <w:spacing w:line="360" w:lineRule="auto"/>
              <w:ind w:firstLine="420" w:firstLineChars="200"/>
              <w:jc w:val="left"/>
              <w:rPr>
                <w:rFonts w:hint="eastAsia" w:ascii="宋体" w:hAnsi="宋体" w:eastAsia="宋体"/>
                <w:szCs w:val="21"/>
              </w:rPr>
            </w:pPr>
            <w:r>
              <w:rPr>
                <w:rFonts w:hint="eastAsia" w:ascii="宋体" w:hAnsi="宋体" w:eastAsia="宋体"/>
                <w:szCs w:val="21"/>
              </w:rPr>
              <w:t>1、</w:t>
            </w:r>
            <w:r>
              <w:rPr>
                <w:rFonts w:hint="eastAsia" w:ascii="宋体" w:hAnsi="宋体" w:eastAsia="宋体"/>
                <w:szCs w:val="21"/>
                <w:lang w:val="en-US" w:eastAsia="zh-CN"/>
              </w:rPr>
              <w:t>多源数据信息融合技术。</w:t>
            </w:r>
            <w:r>
              <w:rPr>
                <w:rFonts w:hint="default" w:ascii="宋体" w:hAnsi="宋体" w:eastAsia="宋体" w:cs="Times New Roman"/>
                <w:szCs w:val="21"/>
                <w:lang w:val="en-US" w:eastAsia="zh-CN"/>
              </w:rPr>
              <w:t>对于涵盖军事和民用在内的更为广泛的领域而言，数据融合技术就是对某个目标描述不完整的多个信息，经过某些处理和分析手段，获得对该目标较为完整和准确的描述，为更加准确的决策和判断做出支持</w:t>
            </w:r>
            <w:r>
              <w:rPr>
                <w:rFonts w:hint="eastAsia" w:ascii="宋体" w:hAnsi="宋体" w:eastAsia="宋体" w:cs="Times New Roman"/>
                <w:szCs w:val="21"/>
                <w:lang w:val="en-US" w:eastAsia="zh-CN"/>
              </w:rPr>
              <w:t>。并支持多种数据管理编码格式，生成的视频编码文件具有大压缩比和高清晰度，由若干个（与视频文件大小相关）能独立解码的数据段构成，每个数据段均可播放且不相互依赖，大大提高了数据的安全性。</w:t>
            </w:r>
          </w:p>
          <w:p>
            <w:pPr>
              <w:snapToGrid w:val="0"/>
              <w:spacing w:line="360" w:lineRule="auto"/>
              <w:ind w:firstLine="420" w:firstLineChars="200"/>
              <w:jc w:val="left"/>
              <w:rPr>
                <w:rFonts w:hint="eastAsia" w:ascii="宋体" w:hAnsi="宋体" w:eastAsia="宋体"/>
                <w:szCs w:val="21"/>
              </w:rPr>
            </w:pPr>
            <w:r>
              <w:rPr>
                <w:rFonts w:hint="eastAsia" w:ascii="宋体" w:hAnsi="宋体" w:eastAsia="宋体"/>
                <w:szCs w:val="21"/>
              </w:rPr>
              <w:t>2、</w:t>
            </w:r>
            <w:r>
              <w:rPr>
                <w:rFonts w:hint="eastAsia" w:ascii="宋体" w:hAnsi="宋体" w:eastAsia="宋体"/>
                <w:szCs w:val="21"/>
                <w:lang w:val="en-US" w:eastAsia="zh-CN"/>
              </w:rPr>
              <w:t>建立基于对抗神经网络的数据处理识别模型</w:t>
            </w:r>
            <w:r>
              <w:rPr>
                <w:rFonts w:hint="eastAsia" w:ascii="宋体" w:hAnsi="宋体" w:eastAsia="宋体" w:cs="Times New Roman"/>
                <w:szCs w:val="21"/>
                <w:lang w:val="en-US" w:eastAsia="zh-CN"/>
              </w:rPr>
              <w:t>，</w:t>
            </w:r>
            <w:r>
              <w:rPr>
                <w:rFonts w:hint="default" w:ascii="宋体" w:hAnsi="宋体" w:eastAsia="宋体" w:cs="Times New Roman"/>
                <w:szCs w:val="21"/>
                <w:lang w:val="en-US" w:eastAsia="zh-CN"/>
              </w:rPr>
              <w:t>图像识别中最核心的问题是如何准确的对目标图像进行分类，而最核心的指标就是识别准确率即分类器对一组目标图片进行分类，其中正确分类的图片占所有图片的比例</w:t>
            </w:r>
            <w:r>
              <w:rPr>
                <w:rFonts w:hint="eastAsia" w:ascii="宋体" w:hAnsi="宋体" w:eastAsia="宋体" w:cs="Times New Roman"/>
                <w:szCs w:val="21"/>
                <w:lang w:val="en-US" w:eastAsia="zh-CN"/>
              </w:rPr>
              <w:t>。生成对抗网络作为生成式模型，能够学习原有样本特征生成图像样本。</w:t>
            </w:r>
          </w:p>
          <w:p>
            <w:pPr>
              <w:snapToGrid w:val="0"/>
              <w:spacing w:line="360" w:lineRule="auto"/>
              <w:ind w:firstLine="420" w:firstLineChars="200"/>
              <w:jc w:val="left"/>
              <w:rPr>
                <w:rFonts w:hint="default" w:ascii="宋体" w:hAnsi="宋体" w:eastAsia="宋体" w:cs="Times New Roman"/>
                <w:szCs w:val="21"/>
                <w:lang w:val="en-US" w:eastAsia="zh-CN"/>
              </w:rPr>
            </w:pPr>
            <w:r>
              <w:rPr>
                <w:rFonts w:hint="eastAsia" w:ascii="宋体" w:hAnsi="宋体" w:eastAsia="宋体" w:cs="Times New Roman"/>
                <w:szCs w:val="21"/>
              </w:rPr>
              <w:t>3、</w:t>
            </w:r>
            <w:r>
              <w:rPr>
                <w:rFonts w:hint="eastAsia" w:ascii="宋体" w:hAnsi="宋体" w:eastAsia="宋体" w:cs="Times New Roman"/>
                <w:szCs w:val="21"/>
                <w:lang w:val="en-US" w:eastAsia="zh-CN"/>
              </w:rPr>
              <w:t>数据挖掘与分析评估体系构建。</w:t>
            </w:r>
            <w:r>
              <w:rPr>
                <w:rFonts w:hint="default" w:ascii="宋体" w:hAnsi="宋体" w:eastAsia="宋体" w:cs="Times New Roman"/>
                <w:szCs w:val="21"/>
                <w:lang w:val="en-US" w:eastAsia="zh-CN"/>
              </w:rPr>
              <w:t>数据挖掘技术却可以从中抽象出一些隐含的有用的信息，通过发现不同数据之间的关联或规律，为决策者提供更精准的决策依据。一是进行任务预测，即根据一些数据属性预测某个特定属性的值，以达到提前预判的目的。二是进行任务描述，即通过一些特有的模式（如相关、趋势、聚类、异常等）来概括数据中一些潜在联系的特点，以进行某些特性的探查，从而得出规律性的东西。</w:t>
            </w:r>
          </w:p>
          <w:p>
            <w:pPr>
              <w:snapToGrid w:val="0"/>
              <w:spacing w:line="360" w:lineRule="auto"/>
              <w:ind w:firstLine="420" w:firstLineChars="200"/>
              <w:jc w:val="left"/>
              <w:rPr>
                <w:rFonts w:hint="eastAsia" w:ascii="宋体" w:hAnsi="宋体" w:eastAsia="宋体"/>
                <w:szCs w:val="21"/>
              </w:rPr>
            </w:pPr>
            <w:r>
              <w:rPr>
                <w:rFonts w:hint="eastAsia" w:ascii="宋体" w:hAnsi="宋体" w:eastAsia="宋体" w:cs="Times New Roman"/>
                <w:szCs w:val="21"/>
                <w:lang w:val="en-US" w:eastAsia="zh-CN"/>
              </w:rPr>
              <w:t>4、针对于多路数据时统技术，具备</w:t>
            </w:r>
            <w:r>
              <w:rPr>
                <w:rFonts w:hint="default" w:ascii="宋体" w:hAnsi="宋体" w:eastAsia="宋体" w:cs="Times New Roman"/>
                <w:szCs w:val="21"/>
                <w:lang w:val="en-US" w:eastAsia="zh-CN"/>
              </w:rPr>
              <w:t>通用性强，可以作为时统服务器使用，也可以作为时统客户端使用</w:t>
            </w:r>
            <w:r>
              <w:rPr>
                <w:rFonts w:hint="eastAsia" w:ascii="宋体" w:hAnsi="宋体" w:eastAsia="宋体" w:cs="Times New Roman"/>
                <w:szCs w:val="21"/>
                <w:lang w:val="en-US" w:eastAsia="zh-CN"/>
              </w:rPr>
              <w:t>，</w:t>
            </w:r>
            <w:r>
              <w:rPr>
                <w:rFonts w:hint="default" w:ascii="宋体" w:hAnsi="宋体" w:eastAsia="宋体" w:cs="Times New Roman"/>
                <w:szCs w:val="21"/>
                <w:lang w:val="en-US" w:eastAsia="zh-CN"/>
              </w:rPr>
              <w:t>时钟的精度很高，对时时钟在毫秒级，因此时钟信息有很高的可信度，时间对时不会出现大的差异变化，保证了功能实现同时，有很强的鲁棒性，系统结实耐用，可以长时间的运行</w:t>
            </w:r>
            <w:r>
              <w:rPr>
                <w:rFonts w:hint="eastAsia" w:ascii="宋体" w:hAnsi="宋体" w:eastAsia="宋体"/>
                <w:szCs w:val="21"/>
              </w:rPr>
              <w:t>。</w:t>
            </w:r>
          </w:p>
          <w:p>
            <w:pPr>
              <w:snapToGrid w:val="0"/>
              <w:spacing w:line="360" w:lineRule="auto"/>
              <w:jc w:val="left"/>
              <w:rPr>
                <w:rFonts w:hint="eastAsia" w:ascii="宋体" w:hAnsi="宋体" w:eastAsia="宋体"/>
                <w:b/>
                <w:bCs/>
                <w:szCs w:val="21"/>
              </w:rPr>
            </w:pPr>
            <w:r>
              <w:rPr>
                <w:rFonts w:hint="eastAsia" w:ascii="宋体" w:hAnsi="宋体" w:eastAsia="宋体"/>
                <w:b/>
                <w:bCs/>
                <w:szCs w:val="21"/>
                <w:lang w:val="en-US" w:eastAsia="zh-CN"/>
              </w:rPr>
              <w:t>四</w:t>
            </w:r>
            <w:r>
              <w:rPr>
                <w:rFonts w:hint="eastAsia" w:ascii="宋体" w:hAnsi="宋体" w:eastAsia="宋体"/>
                <w:b/>
                <w:bCs/>
                <w:szCs w:val="21"/>
              </w:rPr>
              <w:t>、技术成熟性及可靠性论述</w:t>
            </w:r>
          </w:p>
          <w:p>
            <w:pPr>
              <w:snapToGrid w:val="0"/>
              <w:spacing w:line="360" w:lineRule="auto"/>
              <w:ind w:firstLine="420" w:firstLineChars="200"/>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我公司核心团队成员均从事于数据采集、数据识别和数据采集的研究与开发工作，拥有丰富的技术积累和工程经验；并在人工智能、数据挖掘等领域发表了多篇相关高水平论文和软件著作，授权了多项实用新型和发明专利。</w:t>
            </w:r>
          </w:p>
          <w:p>
            <w:pPr>
              <w:snapToGrid w:val="0"/>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公司同研究单位、高校、部队都有很好的合作关系，参与了军方多个产品的研发项目，公司与该项目相关的主要合同有如下几项：</w:t>
            </w:r>
          </w:p>
          <w:p>
            <w:pPr>
              <w:snapToGrid w:val="0"/>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（1）与军方某研究所签署的音频数据采集并分析科研合同；</w:t>
            </w:r>
          </w:p>
          <w:p>
            <w:pPr>
              <w:snapToGrid w:val="0"/>
              <w:spacing w:line="360" w:lineRule="auto"/>
              <w:ind w:firstLine="420" w:firstLineChars="200"/>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（2）与陆军某试验基地签署的地面突击装备测试评估服务保障合同；</w:t>
            </w:r>
          </w:p>
          <w:p>
            <w:pPr>
              <w:rPr>
                <w:rFonts w:ascii="宋体" w:hAnsi="宋体" w:eastAsia="宋体" w:cs="宋体"/>
                <w:color w:val="000000"/>
                <w:sz w:val="24"/>
                <w:szCs w:val="24"/>
              </w:rPr>
            </w:pPr>
            <w:r>
              <w:rPr>
                <w:rFonts w:hint="eastAsia" w:ascii="宋体" w:hAnsi="宋体" w:eastAsia="宋体" w:cs="Times New Roman"/>
                <w:szCs w:val="21"/>
                <w:lang w:val="en-US" w:eastAsia="zh-CN"/>
              </w:rPr>
              <w:t>（3）与中国航空工业某研究所签订的飞行员驾驶头盔及人机操控系统研发合同。</w:t>
            </w:r>
          </w:p>
        </w:tc>
      </w:tr>
      <w:tr>
        <w:tblPrEx>
          <w:tblCellMar>
            <w:top w:w="0" w:type="dxa"/>
            <w:left w:w="108" w:type="dxa"/>
            <w:bottom w:w="0" w:type="dxa"/>
            <w:right w:w="108" w:type="dxa"/>
          </w:tblCellMar>
        </w:tblPrEx>
        <w:trPr>
          <w:trHeight w:val="2026"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主要管理团队</w:t>
            </w:r>
          </w:p>
        </w:tc>
        <w:tc>
          <w:tcPr>
            <w:tcW w:w="8455" w:type="dxa"/>
            <w:gridSpan w:val="6"/>
            <w:tcBorders>
              <w:top w:val="nil"/>
              <w:left w:val="nil"/>
              <w:bottom w:val="single" w:color="000000" w:sz="8" w:space="0"/>
              <w:right w:val="single" w:color="000000" w:sz="8" w:space="0"/>
            </w:tcBorders>
            <w:shd w:val="clear" w:color="auto" w:fill="auto"/>
          </w:tcPr>
          <w:p>
            <w:pPr>
              <w:widowControl/>
              <w:textAlignment w:val="top"/>
            </w:pPr>
            <w:r>
              <w:rPr>
                <w:rFonts w:hint="eastAsia"/>
              </w:rPr>
              <w:t xml:space="preserve">    </w:t>
            </w:r>
            <w:r>
              <w:drawing>
                <wp:inline distT="0" distB="0" distL="114300" distR="114300">
                  <wp:extent cx="5226685" cy="4236720"/>
                  <wp:effectExtent l="0" t="0" r="5715"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26685" cy="4236720"/>
                          </a:xfrm>
                          <a:prstGeom prst="rect">
                            <a:avLst/>
                          </a:prstGeom>
                          <a:noFill/>
                          <a:ln>
                            <a:noFill/>
                          </a:ln>
                        </pic:spPr>
                      </pic:pic>
                    </a:graphicData>
                  </a:graphic>
                </wp:inline>
              </w:drawing>
            </w:r>
          </w:p>
          <w:p>
            <w:pPr>
              <w:pStyle w:val="2"/>
            </w:pPr>
            <w:r>
              <w:drawing>
                <wp:inline distT="0" distB="0" distL="114300" distR="114300">
                  <wp:extent cx="5227320" cy="3822065"/>
                  <wp:effectExtent l="0" t="0" r="508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27320" cy="3822065"/>
                          </a:xfrm>
                          <a:prstGeom prst="rect">
                            <a:avLst/>
                          </a:prstGeom>
                          <a:noFill/>
                          <a:ln>
                            <a:noFill/>
                          </a:ln>
                        </pic:spPr>
                      </pic:pic>
                    </a:graphicData>
                  </a:graphic>
                </wp:inline>
              </w:drawing>
            </w:r>
          </w:p>
          <w:p>
            <w:r>
              <w:drawing>
                <wp:inline distT="0" distB="0" distL="114300" distR="114300">
                  <wp:extent cx="5226685" cy="3789045"/>
                  <wp:effectExtent l="0" t="0" r="5715"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26685" cy="3789045"/>
                          </a:xfrm>
                          <a:prstGeom prst="rect">
                            <a:avLst/>
                          </a:prstGeom>
                          <a:noFill/>
                          <a:ln>
                            <a:noFill/>
                          </a:ln>
                        </pic:spPr>
                      </pic:pic>
                    </a:graphicData>
                  </a:graphic>
                </wp:inline>
              </w:drawing>
            </w:r>
          </w:p>
          <w:p>
            <w:pPr>
              <w:pStyle w:val="2"/>
            </w:pPr>
            <w:r>
              <w:drawing>
                <wp:inline distT="0" distB="0" distL="114300" distR="114300">
                  <wp:extent cx="0" cy="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0" cy="0"/>
                          </a:xfrm>
                          <a:prstGeom prst="rect">
                            <a:avLst/>
                          </a:prstGeom>
                          <a:noFill/>
                          <a:ln>
                            <a:noFill/>
                          </a:ln>
                        </pic:spPr>
                      </pic:pic>
                    </a:graphicData>
                  </a:graphic>
                </wp:inline>
              </w:drawing>
            </w:r>
            <w:r>
              <w:drawing>
                <wp:inline distT="0" distB="0" distL="114300" distR="114300">
                  <wp:extent cx="5227955" cy="6584315"/>
                  <wp:effectExtent l="0" t="0" r="4445"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227955" cy="6584315"/>
                          </a:xfrm>
                          <a:prstGeom prst="rect">
                            <a:avLst/>
                          </a:prstGeom>
                          <a:noFill/>
                          <a:ln>
                            <a:noFill/>
                          </a:ln>
                        </pic:spPr>
                      </pic:pic>
                    </a:graphicData>
                  </a:graphic>
                </wp:inline>
              </w:drawing>
            </w:r>
            <w:r>
              <w:drawing>
                <wp:inline distT="0" distB="0" distL="114300" distR="114300">
                  <wp:extent cx="0" cy="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0" cy="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2039"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公司发展预测</w:t>
            </w:r>
          </w:p>
        </w:tc>
        <w:tc>
          <w:tcPr>
            <w:tcW w:w="8455" w:type="dxa"/>
            <w:gridSpan w:val="6"/>
            <w:tcBorders>
              <w:top w:val="nil"/>
              <w:left w:val="nil"/>
              <w:bottom w:val="nil"/>
              <w:right w:val="single" w:color="000000" w:sz="8" w:space="0"/>
            </w:tcBorders>
            <w:shd w:val="clear" w:color="auto" w:fill="auto"/>
          </w:tcPr>
          <w:p>
            <w:pPr>
              <w:snapToGrid w:val="0"/>
              <w:spacing w:line="360" w:lineRule="auto"/>
              <w:ind w:firstLine="480" w:firstLineChars="200"/>
              <w:jc w:val="left"/>
              <w:rPr>
                <w:rFonts w:hint="default" w:ascii="宋体" w:hAnsi="宋体" w:eastAsia="宋体" w:cs="Times New Roman"/>
                <w:szCs w:val="21"/>
                <w:lang w:val="en-US" w:eastAsia="zh-CN"/>
              </w:rPr>
            </w:pPr>
            <w:r>
              <w:rPr>
                <w:rFonts w:hint="eastAsia" w:ascii="宋体" w:hAnsi="宋体" w:eastAsia="宋体" w:cs="宋体"/>
                <w:color w:val="000000"/>
                <w:kern w:val="0"/>
                <w:sz w:val="24"/>
                <w:szCs w:val="24"/>
                <w:lang w:bidi="ar"/>
              </w:rPr>
              <w:t xml:space="preserve">   </w:t>
            </w:r>
            <w:r>
              <w:rPr>
                <w:rFonts w:hint="eastAsia" w:ascii="宋体" w:hAnsi="宋体" w:eastAsia="宋体" w:cs="Times New Roman"/>
                <w:szCs w:val="21"/>
                <w:lang w:val="en-US" w:eastAsia="zh-CN"/>
              </w:rPr>
              <w:t>当前对于特种装备新产品的研发和在役装备的状态监测通常是依靠专家通过自己的主观判断来提出研发建议或依靠有经验的工作人员来确定装备的状态进行故障诊断与维修，尚没有一种科学的通用评估指标体系来对特种装备的人机功效进行评测，也没有出现相关技术研究和商业产品，因此无论是对新产品上市前的设计优化，还是对现有产品的升级改造，均具有很大的市场空间和缺口。</w:t>
            </w:r>
          </w:p>
          <w:p>
            <w:pPr>
              <w:snapToGrid w:val="0"/>
              <w:spacing w:line="360" w:lineRule="auto"/>
              <w:ind w:firstLine="420" w:firstLineChars="200"/>
              <w:jc w:val="left"/>
              <w:rPr>
                <w:rFonts w:hint="eastAsia" w:ascii="宋体" w:hAnsi="宋体" w:eastAsia="宋体" w:cs="Times New Roman"/>
                <w:szCs w:val="21"/>
                <w:lang w:val="en-US" w:eastAsia="zh-CN"/>
              </w:rPr>
            </w:pPr>
            <w:r>
              <w:rPr>
                <w:rFonts w:hint="eastAsia" w:ascii="宋体" w:hAnsi="宋体" w:eastAsia="宋体" w:cs="Times New Roman"/>
                <w:szCs w:val="21"/>
                <w:lang w:val="en-US" w:eastAsia="zh-CN"/>
              </w:rPr>
              <w:t>我公司已有研发成功的图像数据识别软件和音频数据采集分析软件，功能完善且界面友好，具有高数据安全性和使用安全性，并可以根据不同特种装备的评测需求在软件的基础上进行二次开发。</w:t>
            </w:r>
          </w:p>
          <w:p>
            <w:pPr>
              <w:snapToGrid w:val="0"/>
              <w:spacing w:line="360" w:lineRule="auto"/>
              <w:ind w:firstLine="420" w:firstLineChars="200"/>
              <w:jc w:val="left"/>
              <w:rPr>
                <w:rFonts w:hint="default" w:ascii="宋体" w:hAnsi="宋体" w:eastAsia="宋体" w:cs="Times New Roman"/>
                <w:szCs w:val="21"/>
                <w:lang w:val="en-US" w:eastAsia="zh-CN"/>
              </w:rPr>
            </w:pPr>
            <w:r>
              <w:rPr>
                <w:rFonts w:hint="eastAsia" w:ascii="宋体" w:hAnsi="宋体" w:eastAsia="宋体" w:cs="Times New Roman"/>
                <w:szCs w:val="21"/>
                <w:lang w:val="en-US" w:eastAsia="zh-CN"/>
              </w:rPr>
              <w:t>我公司研发的特种装备评测系统不仅可以对武器装备、轨道交通装备、光电设备、工程机械设备、航空航天装备以及应急安全装备等硬件装备进行评测，同事可以对指控系统、火控系统及驾驶员操作系统等软件装备进行评测。</w:t>
            </w:r>
          </w:p>
          <w:p>
            <w:pPr>
              <w:widowControl/>
              <w:textAlignment w:val="top"/>
              <w:rPr>
                <w:rFonts w:ascii="宋体" w:hAnsi="宋体" w:eastAsia="宋体" w:cs="宋体"/>
                <w:color w:val="000000"/>
                <w:sz w:val="24"/>
                <w:szCs w:val="24"/>
              </w:rPr>
            </w:pPr>
          </w:p>
        </w:tc>
      </w:tr>
      <w:tr>
        <w:tblPrEx>
          <w:tblCellMar>
            <w:top w:w="0" w:type="dxa"/>
            <w:left w:w="108" w:type="dxa"/>
            <w:bottom w:w="0" w:type="dxa"/>
            <w:right w:w="108" w:type="dxa"/>
          </w:tblCellMar>
        </w:tblPrEx>
        <w:trPr>
          <w:trHeight w:val="1000"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过往融资情况</w:t>
            </w:r>
          </w:p>
        </w:tc>
        <w:tc>
          <w:tcPr>
            <w:tcW w:w="8455" w:type="dxa"/>
            <w:gridSpan w:val="6"/>
            <w:tcBorders>
              <w:top w:val="single" w:color="000000" w:sz="8" w:space="0"/>
              <w:left w:val="nil"/>
              <w:bottom w:val="single" w:color="000000" w:sz="8" w:space="0"/>
              <w:right w:val="single" w:color="000000" w:sz="8" w:space="0"/>
            </w:tcBorders>
            <w:shd w:val="clear" w:color="auto" w:fill="auto"/>
          </w:tcPr>
          <w:p>
            <w:pPr>
              <w:widowControl/>
              <w:textAlignment w:val="top"/>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bidi="ar"/>
              </w:rPr>
              <w:t xml:space="preserve">    </w:t>
            </w:r>
            <w:r>
              <w:rPr>
                <w:rFonts w:hint="eastAsia" w:ascii="宋体" w:hAnsi="宋体" w:eastAsia="宋体" w:cs="宋体"/>
                <w:color w:val="000000"/>
                <w:kern w:val="0"/>
                <w:sz w:val="24"/>
                <w:szCs w:val="24"/>
                <w:lang w:val="en-US" w:eastAsia="zh-CN" w:bidi="ar"/>
              </w:rPr>
              <w:t>总公司于2022年1月全额投资建立分公司。</w:t>
            </w:r>
          </w:p>
        </w:tc>
      </w:tr>
      <w:tr>
        <w:tblPrEx>
          <w:tblCellMar>
            <w:top w:w="0" w:type="dxa"/>
            <w:left w:w="108" w:type="dxa"/>
            <w:bottom w:w="0" w:type="dxa"/>
            <w:right w:w="108" w:type="dxa"/>
          </w:tblCellMar>
        </w:tblPrEx>
        <w:trPr>
          <w:trHeight w:val="4376" w:hRule="atLeast"/>
        </w:trPr>
        <w:tc>
          <w:tcPr>
            <w:tcW w:w="2292"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近两年财务状况</w:t>
            </w:r>
          </w:p>
        </w:tc>
        <w:tc>
          <w:tcPr>
            <w:tcW w:w="8455" w:type="dxa"/>
            <w:gridSpan w:val="6"/>
            <w:tcBorders>
              <w:top w:val="nil"/>
              <w:left w:val="nil"/>
              <w:bottom w:val="single" w:color="000000" w:sz="8" w:space="0"/>
              <w:right w:val="single" w:color="000000" w:sz="8" w:space="0"/>
            </w:tcBorders>
            <w:shd w:val="clear" w:color="auto" w:fill="auto"/>
          </w:tcPr>
          <w:p/>
          <w:p>
            <w:pPr>
              <w:pStyle w:val="2"/>
            </w:pPr>
            <w:r>
              <w:drawing>
                <wp:inline distT="0" distB="0" distL="114300" distR="114300">
                  <wp:extent cx="3263900" cy="17907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3263900" cy="1790700"/>
                          </a:xfrm>
                          <a:prstGeom prst="rect">
                            <a:avLst/>
                          </a:prstGeom>
                          <a:noFill/>
                          <a:ln>
                            <a:noFill/>
                          </a:ln>
                        </pic:spPr>
                      </pic:pic>
                    </a:graphicData>
                  </a:graphic>
                </wp:inline>
              </w:drawing>
            </w:r>
          </w:p>
          <w:p/>
          <w:p>
            <w:pPr>
              <w:pStyle w:val="2"/>
            </w:pPr>
          </w:p>
          <w:p/>
          <w:p>
            <w:pPr>
              <w:pStyle w:val="2"/>
            </w:pPr>
          </w:p>
        </w:tc>
      </w:tr>
      <w:tr>
        <w:tblPrEx>
          <w:tblCellMar>
            <w:top w:w="0" w:type="dxa"/>
            <w:left w:w="108" w:type="dxa"/>
            <w:bottom w:w="0" w:type="dxa"/>
            <w:right w:w="108" w:type="dxa"/>
          </w:tblCellMar>
        </w:tblPrEx>
        <w:trPr>
          <w:trHeight w:val="580" w:hRule="atLeast"/>
        </w:trPr>
        <w:tc>
          <w:tcPr>
            <w:tcW w:w="2292" w:type="dxa"/>
            <w:vMerge w:val="restart"/>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4"/>
                <w:szCs w:val="24"/>
              </w:rPr>
            </w:pPr>
            <w:r>
              <w:rPr>
                <w:rFonts w:hint="eastAsia" w:ascii="宋体" w:hAnsi="宋体" w:eastAsia="宋体" w:cs="宋体"/>
                <w:b/>
                <w:bCs/>
                <w:color w:val="000000"/>
                <w:kern w:val="0"/>
                <w:sz w:val="24"/>
                <w:szCs w:val="24"/>
                <w:lang w:bidi="ar"/>
              </w:rPr>
              <w:t>联系方式</w:t>
            </w:r>
          </w:p>
        </w:tc>
        <w:tc>
          <w:tcPr>
            <w:tcW w:w="2877"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联系人</w:t>
            </w:r>
          </w:p>
        </w:tc>
        <w:tc>
          <w:tcPr>
            <w:tcW w:w="2580" w:type="dxa"/>
            <w:gridSpan w:val="2"/>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武鸿涛</w:t>
            </w:r>
          </w:p>
        </w:tc>
        <w:tc>
          <w:tcPr>
            <w:tcW w:w="108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职务</w:t>
            </w:r>
          </w:p>
        </w:tc>
        <w:tc>
          <w:tcPr>
            <w:tcW w:w="1918" w:type="dxa"/>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总经理</w:t>
            </w:r>
          </w:p>
        </w:tc>
      </w:tr>
      <w:tr>
        <w:tblPrEx>
          <w:tblCellMar>
            <w:top w:w="0" w:type="dxa"/>
            <w:left w:w="108" w:type="dxa"/>
            <w:bottom w:w="0" w:type="dxa"/>
            <w:right w:w="108" w:type="dxa"/>
          </w:tblCellMar>
        </w:tblPrEx>
        <w:trPr>
          <w:trHeight w:val="580" w:hRule="atLeast"/>
        </w:trPr>
        <w:tc>
          <w:tcPr>
            <w:tcW w:w="2292"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ascii="宋体" w:hAnsi="宋体" w:eastAsia="宋体" w:cs="宋体"/>
                <w:b/>
                <w:bCs/>
                <w:color w:val="000000"/>
                <w:sz w:val="24"/>
                <w:szCs w:val="24"/>
              </w:rPr>
            </w:pPr>
          </w:p>
        </w:tc>
        <w:tc>
          <w:tcPr>
            <w:tcW w:w="2877" w:type="dxa"/>
            <w:gridSpan w:val="2"/>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E-mail</w:t>
            </w:r>
          </w:p>
        </w:tc>
        <w:tc>
          <w:tcPr>
            <w:tcW w:w="2580" w:type="dxa"/>
            <w:gridSpan w:val="2"/>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lang w:val="en-US" w:eastAsia="zh-CN"/>
              </w:rPr>
              <w:t>18002017771@163.com</w:t>
            </w:r>
            <w:r>
              <w:fldChar w:fldCharType="begin"/>
            </w:r>
            <w:r>
              <w:instrText xml:space="preserve"> HYPERLINK "mailto:miki@qiwu.ai" \o "mailto:miki@qiwu.ai" </w:instrText>
            </w:r>
            <w:r>
              <w:fldChar w:fldCharType="separate"/>
            </w:r>
            <w:r>
              <w:fldChar w:fldCharType="end"/>
            </w:r>
          </w:p>
        </w:tc>
        <w:tc>
          <w:tcPr>
            <w:tcW w:w="108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4"/>
                <w:szCs w:val="24"/>
              </w:rPr>
            </w:pPr>
            <w:r>
              <w:rPr>
                <w:rFonts w:hint="eastAsia" w:ascii="宋体" w:hAnsi="宋体" w:eastAsia="宋体" w:cs="宋体"/>
                <w:color w:val="000000"/>
                <w:kern w:val="0"/>
                <w:sz w:val="24"/>
                <w:szCs w:val="24"/>
                <w:lang w:bidi="ar"/>
              </w:rPr>
              <w:t>手机</w:t>
            </w:r>
          </w:p>
        </w:tc>
        <w:tc>
          <w:tcPr>
            <w:tcW w:w="1918" w:type="dxa"/>
            <w:tcBorders>
              <w:top w:val="nil"/>
              <w:left w:val="nil"/>
              <w:bottom w:val="single" w:color="000000" w:sz="8" w:space="0"/>
              <w:right w:val="single" w:color="000000" w:sz="8" w:space="0"/>
            </w:tcBorders>
            <w:shd w:val="clear" w:color="auto" w:fill="auto"/>
            <w:vAlign w:val="center"/>
          </w:tcPr>
          <w:p>
            <w:pPr>
              <w:jc w:val="center"/>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18002017771</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YTZhMzcyYWEwYTkwYmYxMWZiMmE0YjJlMzI5MTMifQ=="/>
  </w:docVars>
  <w:rsids>
    <w:rsidRoot w:val="00000000"/>
    <w:rsid w:val="0FA41A22"/>
    <w:rsid w:val="29134DAF"/>
    <w:rsid w:val="4B0C0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360" w:lineRule="auto"/>
      <w:jc w:val="center"/>
      <w:outlineLvl w:val="0"/>
    </w:pPr>
    <w:rPr>
      <w:rFonts w:cs="Times New Roman"/>
      <w:b/>
      <w:bCs/>
      <w:kern w:val="44"/>
      <w:sz w:val="44"/>
      <w:szCs w:val="44"/>
      <w:lang w:val="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555"/>
    </w:pPr>
    <w:rPr>
      <w:rFonts w:ascii="仿宋_GB2312" w:eastAsia="仿宋_GB2312"/>
      <w:sz w:val="32"/>
    </w:rPr>
  </w:style>
  <w:style w:type="paragraph" w:styleId="4">
    <w:name w:val="Body Text First Indent 2"/>
    <w:basedOn w:val="3"/>
    <w:qFormat/>
    <w:uiPriority w:val="99"/>
    <w:pPr>
      <w:spacing w:after="120"/>
      <w:ind w:left="420" w:leftChars="200" w:firstLine="420" w:firstLineChars="200"/>
    </w:pPr>
    <w:rPr>
      <w:rFonts w:eastAsia="宋体"/>
      <w:sz w:val="21"/>
    </w:rPr>
  </w:style>
  <w:style w:type="character" w:customStyle="1" w:styleId="7">
    <w:name w:val="font01"/>
    <w:basedOn w:val="6"/>
    <w:qFormat/>
    <w:uiPriority w:val="0"/>
    <w:rPr>
      <w:rFonts w:hint="eastAsia" w:ascii="宋体" w:hAnsi="宋体" w:eastAsia="宋体" w:cs="宋体"/>
      <w:color w:val="000000"/>
      <w:sz w:val="24"/>
      <w:szCs w:val="24"/>
      <w:u w:val="none"/>
    </w:rPr>
  </w:style>
  <w:style w:type="character" w:customStyle="1" w:styleId="8">
    <w:name w:val="font61"/>
    <w:basedOn w:val="6"/>
    <w:qFormat/>
    <w:uiPriority w:val="0"/>
    <w:rPr>
      <w:rFonts w:hint="default" w:ascii="Wingdings" w:hAnsi="Wingdings" w:cs="Wingdings"/>
      <w:color w:val="000000"/>
      <w:sz w:val="24"/>
      <w:szCs w:val="24"/>
      <w:u w:val="none"/>
    </w:rPr>
  </w:style>
  <w:style w:type="character" w:customStyle="1" w:styleId="9">
    <w:name w:val="font71"/>
    <w:basedOn w:val="6"/>
    <w:qFormat/>
    <w:uiPriority w:val="0"/>
    <w:rPr>
      <w:rFonts w:ascii="Wingdings 2" w:hAnsi="Wingdings 2" w:eastAsia="Wingdings 2" w:cs="Wingdings 2"/>
      <w:b/>
      <w:bCs/>
      <w:color w:val="000000"/>
      <w:sz w:val="24"/>
      <w:szCs w:val="24"/>
      <w:u w:val="none"/>
    </w:rPr>
  </w:style>
  <w:style w:type="character" w:customStyle="1" w:styleId="10">
    <w:name w:val="font11"/>
    <w:basedOn w:val="6"/>
    <w:qFormat/>
    <w:uiPriority w:val="0"/>
    <w:rPr>
      <w:rFonts w:hint="default" w:ascii="Wingdings 2" w:hAnsi="Wingdings 2" w:eastAsia="Wingdings 2" w:cs="Wingdings 2"/>
      <w:color w:val="000000"/>
      <w:sz w:val="24"/>
      <w:szCs w:val="24"/>
      <w:u w:val="none"/>
    </w:rPr>
  </w:style>
  <w:style w:type="character" w:customStyle="1" w:styleId="11">
    <w:name w:val="font81"/>
    <w:basedOn w:val="6"/>
    <w:qFormat/>
    <w:uiPriority w:val="0"/>
    <w:rPr>
      <w:rFonts w:hint="eastAsia" w:ascii="宋体" w:hAnsi="宋体" w:eastAsia="宋体" w:cs="宋体"/>
      <w:color w:val="000000"/>
      <w:sz w:val="24"/>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3540</Words>
  <Characters>3621</Characters>
  <Lines>0</Lines>
  <Paragraphs>0</Paragraphs>
  <TotalTime>0</TotalTime>
  <ScaleCrop>false</ScaleCrop>
  <LinksUpToDate>false</LinksUpToDate>
  <CharactersWithSpaces>3753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2022-11-24T02:57:00Z</dcterms:created>
  <dc:creator>86133</dc:creator>
  <cp:lastModifiedBy>2oo9</cp:lastModifiedBy>
  <dcterms:modified xsi:type="dcterms:W3CDTF">2022-11-25T01:39:31Z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1EA265A85856472091ACA4932CC87CE1</vt:lpwstr>
  </property>
</Properties>
</file>