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666" w:tblpY="427"/>
        <w:tblOverlap w:val="never"/>
        <w:tblW w:w="10747" w:type="dxa"/>
        <w:tblInd w:w="0" w:type="dxa"/>
        <w:tblLayout w:type="fixed"/>
        <w:tblCellMar>
          <w:top w:w="0" w:type="dxa"/>
          <w:left w:w="108" w:type="dxa"/>
          <w:bottom w:w="0" w:type="dxa"/>
          <w:right w:w="108" w:type="dxa"/>
        </w:tblCellMar>
      </w:tblPr>
      <w:tblGrid>
        <w:gridCol w:w="2292"/>
        <w:gridCol w:w="805"/>
        <w:gridCol w:w="2072"/>
        <w:gridCol w:w="2468"/>
        <w:gridCol w:w="112"/>
        <w:gridCol w:w="1080"/>
        <w:gridCol w:w="1918"/>
      </w:tblGrid>
      <w:tr>
        <w:tblPrEx>
          <w:tblCellMar>
            <w:top w:w="0" w:type="dxa"/>
            <w:left w:w="108" w:type="dxa"/>
            <w:bottom w:w="0" w:type="dxa"/>
            <w:right w:w="108" w:type="dxa"/>
          </w:tblCellMar>
        </w:tblPrEx>
        <w:trPr>
          <w:trHeight w:val="465" w:hRule="atLeast"/>
        </w:trPr>
        <w:tc>
          <w:tcPr>
            <w:tcW w:w="10747" w:type="dxa"/>
            <w:gridSpan w:val="7"/>
            <w:tcBorders>
              <w:top w:val="nil"/>
              <w:left w:val="nil"/>
              <w:bottom w:val="nil"/>
              <w:right w:val="nil"/>
            </w:tcBorders>
            <w:shd w:val="clear" w:color="auto" w:fill="auto"/>
            <w:noWrap/>
            <w:vAlign w:val="center"/>
          </w:tcPr>
          <w:p>
            <w:pPr>
              <w:pStyle w:val="4"/>
              <w:widowControl/>
              <w:ind w:left="0" w:leftChars="0" w:firstLine="1200" w:firstLineChars="500"/>
              <w:jc w:val="left"/>
              <w:rPr>
                <w:rFonts w:hint="eastAsia" w:ascii="宋体" w:hAnsi="宋体" w:eastAsia="宋体" w:cs="宋体"/>
                <w:b/>
                <w:bCs/>
                <w:color w:val="000000"/>
                <w:sz w:val="36"/>
                <w:szCs w:val="36"/>
                <w:lang w:val="en-US" w:eastAsia="zh-CN"/>
              </w:rPr>
            </w:pPr>
            <w:r>
              <w:rPr>
                <w:rFonts w:hint="eastAsia" w:ascii="Times New Roman" w:hAnsi="宋体" w:cs="Times New Roman"/>
                <w:color w:val="000000"/>
                <w:kern w:val="0"/>
                <w:sz w:val="24"/>
              </w:rPr>
              <w:t>附件一：项目征集表</w:t>
            </w:r>
            <w:r>
              <w:rPr>
                <w:rFonts w:hint="eastAsia" w:ascii="Times New Roman" w:hAnsi="宋体" w:cs="Times New Roman"/>
                <w:color w:val="000000"/>
                <w:kern w:val="0"/>
                <w:sz w:val="24"/>
                <w:lang w:eastAsia="zh-CN"/>
              </w:rPr>
              <w:t>（模板）</w:t>
            </w:r>
          </w:p>
        </w:tc>
      </w:tr>
      <w:tr>
        <w:tblPrEx>
          <w:tblCellMar>
            <w:top w:w="0" w:type="dxa"/>
            <w:left w:w="108" w:type="dxa"/>
            <w:bottom w:w="0" w:type="dxa"/>
            <w:right w:w="108" w:type="dxa"/>
          </w:tblCellMar>
        </w:tblPrEx>
        <w:trPr>
          <w:trHeight w:val="600" w:hRule="atLeast"/>
        </w:trPr>
        <w:tc>
          <w:tcPr>
            <w:tcW w:w="22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公司名称</w:t>
            </w:r>
          </w:p>
        </w:tc>
        <w:tc>
          <w:tcPr>
            <w:tcW w:w="2877"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8"/>
                <w:szCs w:val="28"/>
                <w:lang w:val="en-US" w:eastAsia="zh-CN"/>
              </w:rPr>
              <w:t>天津可宏振星光电技术有限公司</w:t>
            </w:r>
          </w:p>
        </w:tc>
        <w:tc>
          <w:tcPr>
            <w:tcW w:w="246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成立时间</w:t>
            </w:r>
          </w:p>
        </w:tc>
        <w:tc>
          <w:tcPr>
            <w:tcW w:w="3110" w:type="dxa"/>
            <w:gridSpan w:val="3"/>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8"/>
                <w:szCs w:val="28"/>
                <w:lang w:val="en-US" w:eastAsia="zh-CN"/>
              </w:rPr>
              <w:t>2022.01</w:t>
            </w:r>
          </w:p>
        </w:tc>
      </w:tr>
      <w:tr>
        <w:tblPrEx>
          <w:tblCellMar>
            <w:top w:w="0" w:type="dxa"/>
            <w:left w:w="108" w:type="dxa"/>
            <w:bottom w:w="0" w:type="dxa"/>
            <w:right w:w="108" w:type="dxa"/>
          </w:tblCellMar>
        </w:tblPrEx>
        <w:trPr>
          <w:trHeight w:val="87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公司地址</w:t>
            </w:r>
          </w:p>
        </w:tc>
        <w:tc>
          <w:tcPr>
            <w:tcW w:w="2877" w:type="dxa"/>
            <w:gridSpan w:val="2"/>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8"/>
                <w:szCs w:val="28"/>
                <w:lang w:val="en-US" w:eastAsia="zh-CN"/>
              </w:rPr>
              <w:t>天津市东丽区华明高新技术产业区华丰路6号A座3-103室</w:t>
            </w:r>
          </w:p>
        </w:tc>
        <w:tc>
          <w:tcPr>
            <w:tcW w:w="24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注册资本</w:t>
            </w:r>
          </w:p>
        </w:tc>
        <w:tc>
          <w:tcPr>
            <w:tcW w:w="3110" w:type="dxa"/>
            <w:gridSpan w:val="3"/>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1000万</w:t>
            </w:r>
          </w:p>
        </w:tc>
      </w:tr>
      <w:tr>
        <w:tblPrEx>
          <w:tblCellMar>
            <w:top w:w="0" w:type="dxa"/>
            <w:left w:w="108" w:type="dxa"/>
            <w:bottom w:w="0" w:type="dxa"/>
            <w:right w:w="108" w:type="dxa"/>
          </w:tblCellMar>
        </w:tblPrEx>
        <w:trPr>
          <w:trHeight w:val="6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所处行业</w:t>
            </w:r>
          </w:p>
        </w:tc>
        <w:tc>
          <w:tcPr>
            <w:tcW w:w="8455" w:type="dxa"/>
            <w:gridSpan w:val="6"/>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航空航天、信息技术</w:t>
            </w:r>
          </w:p>
        </w:tc>
      </w:tr>
      <w:tr>
        <w:tblPrEx>
          <w:tblCellMar>
            <w:top w:w="0" w:type="dxa"/>
            <w:left w:w="108" w:type="dxa"/>
            <w:bottom w:w="0" w:type="dxa"/>
            <w:right w:w="108" w:type="dxa"/>
          </w:tblCellMar>
        </w:tblPrEx>
        <w:trPr>
          <w:trHeight w:val="6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成熟度</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Wingdings" w:hAnsi="Wingdings" w:eastAsia="宋体" w:cs="Wingdings"/>
                <w:color w:val="000000"/>
                <w:sz w:val="24"/>
                <w:szCs w:val="24"/>
              </w:rPr>
            </w:pPr>
            <w:r>
              <w:rPr>
                <w:rFonts w:ascii="Wingdings" w:hAnsi="Wingdings" w:eastAsia="宋体" w:cs="Wingdings"/>
                <w:color w:val="000000"/>
                <w:kern w:val="0"/>
                <w:sz w:val="24"/>
                <w:szCs w:val="24"/>
                <w:lang w:bidi="ar"/>
              </w:rPr>
              <w:t>¨</w:t>
            </w:r>
            <w:r>
              <w:rPr>
                <w:rStyle w:val="7"/>
                <w:rFonts w:hint="default"/>
                <w:lang w:bidi="ar"/>
              </w:rPr>
              <w:t xml:space="preserve">报告级 </w:t>
            </w:r>
            <w:r>
              <w:rPr>
                <w:rStyle w:val="8"/>
                <w:rFonts w:eastAsia="宋体"/>
                <w:lang w:bidi="ar"/>
              </w:rPr>
              <w:t>¨</w:t>
            </w:r>
            <w:r>
              <w:rPr>
                <w:rStyle w:val="7"/>
                <w:rFonts w:hint="default"/>
                <w:lang w:bidi="ar"/>
              </w:rPr>
              <w:t xml:space="preserve">方案级 </w:t>
            </w:r>
            <w:r>
              <w:rPr>
                <w:rStyle w:val="8"/>
                <w:rFonts w:eastAsia="宋体"/>
                <w:lang w:bidi="ar"/>
              </w:rPr>
              <w:t>¨</w:t>
            </w:r>
            <w:r>
              <w:rPr>
                <w:rStyle w:val="7"/>
                <w:rFonts w:hint="default"/>
                <w:lang w:bidi="ar"/>
              </w:rPr>
              <w:t xml:space="preserve">功能级 </w:t>
            </w:r>
            <w:r>
              <w:rPr>
                <w:rStyle w:val="8"/>
                <w:rFonts w:eastAsia="宋体"/>
                <w:lang w:bidi="ar"/>
              </w:rPr>
              <w:t>¨</w:t>
            </w:r>
            <w:r>
              <w:rPr>
                <w:rStyle w:val="7"/>
                <w:rFonts w:hint="default"/>
                <w:lang w:bidi="ar"/>
              </w:rPr>
              <w:t>仿真级</w:t>
            </w:r>
            <w:r>
              <w:rPr>
                <w:rStyle w:val="8"/>
                <w:rFonts w:eastAsia="宋体"/>
                <w:lang w:bidi="ar"/>
              </w:rPr>
              <w:t xml:space="preserve"> ¨</w:t>
            </w:r>
            <w:r>
              <w:rPr>
                <w:rStyle w:val="7"/>
                <w:rFonts w:hint="default"/>
                <w:lang w:bidi="ar"/>
              </w:rPr>
              <w:t>初样级</w:t>
            </w:r>
            <w:r>
              <w:rPr>
                <w:rStyle w:val="8"/>
                <w:rFonts w:eastAsia="宋体"/>
                <w:lang w:bidi="ar"/>
              </w:rPr>
              <w:t xml:space="preserve"> ¨</w:t>
            </w:r>
            <w:r>
              <w:rPr>
                <w:rStyle w:val="7"/>
                <w:rFonts w:hint="default"/>
                <w:lang w:bidi="ar"/>
              </w:rPr>
              <w:t>正样级</w:t>
            </w:r>
            <w:r>
              <w:rPr>
                <w:rStyle w:val="8"/>
                <w:rFonts w:eastAsia="宋体"/>
                <w:lang w:bidi="ar"/>
              </w:rPr>
              <w:t xml:space="preserve"> ¨</w:t>
            </w:r>
            <w:r>
              <w:rPr>
                <w:rStyle w:val="7"/>
                <w:rFonts w:hint="default"/>
                <w:lang w:bidi="ar"/>
              </w:rPr>
              <w:t>环境级</w:t>
            </w:r>
            <w:r>
              <w:rPr>
                <w:rStyle w:val="8"/>
                <w:rFonts w:eastAsia="宋体"/>
                <w:lang w:bidi="ar"/>
              </w:rPr>
              <w:t xml:space="preserve"> ¨</w:t>
            </w:r>
            <w:r>
              <w:rPr>
                <w:rStyle w:val="7"/>
                <w:rFonts w:hint="default"/>
                <w:lang w:bidi="ar"/>
              </w:rPr>
              <w:t>产品级</w:t>
            </w:r>
            <w:r>
              <w:rPr>
                <w:rStyle w:val="8"/>
                <w:rFonts w:eastAsia="宋体"/>
                <w:lang w:bidi="ar"/>
              </w:rPr>
              <w:t xml:space="preserve"> </w:t>
            </w:r>
            <w:r>
              <w:rPr>
                <w:rStyle w:val="8"/>
                <w:rFonts w:eastAsia="宋体"/>
                <w:lang w:bidi="ar"/>
              </w:rPr>
              <w:sym w:font="Wingdings" w:char="00FE"/>
            </w:r>
            <w:r>
              <w:rPr>
                <w:rStyle w:val="7"/>
                <w:rFonts w:hint="default"/>
                <w:lang w:bidi="ar"/>
              </w:rPr>
              <w:t>系统级</w:t>
            </w:r>
            <w:r>
              <w:rPr>
                <w:rStyle w:val="8"/>
                <w:rFonts w:eastAsia="宋体"/>
                <w:lang w:bidi="ar"/>
              </w:rPr>
              <w:t xml:space="preserve"> ¨</w:t>
            </w:r>
            <w:r>
              <w:rPr>
                <w:rStyle w:val="7"/>
                <w:rFonts w:hint="default"/>
                <w:lang w:bidi="ar"/>
              </w:rPr>
              <w:t>销售级</w:t>
            </w:r>
          </w:p>
        </w:tc>
      </w:tr>
      <w:tr>
        <w:tblPrEx>
          <w:tblCellMar>
            <w:top w:w="0" w:type="dxa"/>
            <w:left w:w="108" w:type="dxa"/>
            <w:bottom w:w="0" w:type="dxa"/>
            <w:right w:w="108" w:type="dxa"/>
          </w:tblCellMar>
        </w:tblPrEx>
        <w:trPr>
          <w:trHeight w:val="6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合作方式</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技术转让 </w:t>
            </w:r>
            <w:r>
              <w:rPr>
                <w:rStyle w:val="9"/>
                <w:lang w:bidi="ar"/>
              </w:rPr>
              <w:t>£</w:t>
            </w:r>
            <w:r>
              <w:rPr>
                <w:rStyle w:val="7"/>
                <w:rFonts w:hint="default"/>
                <w:lang w:bidi="ar"/>
              </w:rPr>
              <w:t>专利许可</w:t>
            </w:r>
            <w:r>
              <w:rPr>
                <w:rStyle w:val="10"/>
                <w:lang w:bidi="ar"/>
              </w:rPr>
              <w:t xml:space="preserve"> </w:t>
            </w:r>
            <w:r>
              <w:rPr>
                <w:rStyle w:val="9"/>
                <w:lang w:bidi="ar"/>
              </w:rPr>
              <w:t>£</w:t>
            </w:r>
            <w:r>
              <w:rPr>
                <w:rStyle w:val="7"/>
                <w:rFonts w:hint="default"/>
                <w:lang w:bidi="ar"/>
              </w:rPr>
              <w:t>委托开发</w:t>
            </w:r>
            <w:r>
              <w:rPr>
                <w:rStyle w:val="10"/>
                <w:lang w:bidi="ar"/>
              </w:rPr>
              <w:t xml:space="preserve"> </w:t>
            </w:r>
            <w:r>
              <w:rPr>
                <w:rStyle w:val="9"/>
                <w:lang w:bidi="ar"/>
              </w:rPr>
              <w:t>£</w:t>
            </w:r>
            <w:r>
              <w:rPr>
                <w:rStyle w:val="7"/>
                <w:rFonts w:hint="default"/>
                <w:lang w:bidi="ar"/>
              </w:rPr>
              <w:t>合作开发</w:t>
            </w:r>
            <w:r>
              <w:rPr>
                <w:rStyle w:val="10"/>
                <w:lang w:bidi="ar"/>
              </w:rPr>
              <w:t xml:space="preserve"> </w:t>
            </w:r>
            <w:r>
              <w:rPr>
                <w:rStyle w:val="9"/>
                <w:lang w:bidi="ar"/>
              </w:rPr>
              <w:t>£</w:t>
            </w:r>
            <w:r>
              <w:rPr>
                <w:rStyle w:val="7"/>
                <w:rFonts w:hint="default"/>
                <w:lang w:bidi="ar"/>
              </w:rPr>
              <w:t>技术咨询</w:t>
            </w:r>
            <w:r>
              <w:rPr>
                <w:rStyle w:val="10"/>
                <w:lang w:bidi="ar"/>
              </w:rPr>
              <w:t xml:space="preserve"> </w:t>
            </w:r>
            <w:r>
              <w:rPr>
                <w:rStyle w:val="9"/>
                <w:lang w:bidi="ar"/>
              </w:rPr>
              <w:t>£</w:t>
            </w:r>
            <w:r>
              <w:rPr>
                <w:rStyle w:val="7"/>
                <w:rFonts w:hint="default"/>
                <w:lang w:bidi="ar"/>
              </w:rPr>
              <w:t>技术服务</w:t>
            </w:r>
            <w:r>
              <w:rPr>
                <w:rStyle w:val="10"/>
                <w:lang w:bidi="ar"/>
              </w:rPr>
              <w:t xml:space="preserve"> </w:t>
            </w:r>
            <w:r>
              <w:rPr>
                <w:rStyle w:val="9"/>
                <w:lang w:bidi="ar"/>
              </w:rPr>
              <w:sym w:font="Wingdings 2" w:char="00A3"/>
            </w:r>
            <w:r>
              <w:rPr>
                <w:rStyle w:val="7"/>
                <w:rFonts w:hint="default"/>
                <w:lang w:bidi="ar"/>
              </w:rPr>
              <w:t>技术入股</w:t>
            </w:r>
            <w:r>
              <w:rPr>
                <w:rStyle w:val="10"/>
                <w:lang w:bidi="ar"/>
              </w:rPr>
              <w:t xml:space="preserve"> </w:t>
            </w:r>
            <w:r>
              <w:rPr>
                <w:rStyle w:val="9"/>
                <w:lang w:bidi="ar"/>
              </w:rPr>
              <w:sym w:font="Wingdings 2" w:char="0052"/>
            </w:r>
            <w:r>
              <w:rPr>
                <w:rStyle w:val="7"/>
                <w:rFonts w:hint="default"/>
                <w:lang w:bidi="ar"/>
              </w:rPr>
              <w:t>创业融资</w:t>
            </w:r>
            <w:r>
              <w:rPr>
                <w:rStyle w:val="10"/>
                <w:lang w:bidi="ar"/>
              </w:rPr>
              <w:t xml:space="preserve"> </w:t>
            </w:r>
            <w:r>
              <w:rPr>
                <w:rStyle w:val="9"/>
                <w:lang w:bidi="ar"/>
              </w:rPr>
              <w:sym w:font="Wingdings 2" w:char="0052"/>
            </w:r>
            <w:r>
              <w:rPr>
                <w:rStyle w:val="7"/>
                <w:rFonts w:hint="default"/>
                <w:lang w:bidi="ar"/>
              </w:rPr>
              <w:t>股权融资</w:t>
            </w:r>
          </w:p>
        </w:tc>
      </w:tr>
      <w:tr>
        <w:tblPrEx>
          <w:tblCellMar>
            <w:top w:w="0" w:type="dxa"/>
            <w:left w:w="108" w:type="dxa"/>
            <w:bottom w:w="0" w:type="dxa"/>
            <w:right w:w="108" w:type="dxa"/>
          </w:tblCellMar>
        </w:tblPrEx>
        <w:trPr>
          <w:trHeight w:val="76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成果类型</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Wingdings" w:hAnsi="Wingdings" w:eastAsia="宋体" w:cs="Wingdings"/>
                <w:color w:val="000000"/>
                <w:sz w:val="24"/>
                <w:szCs w:val="24"/>
              </w:rPr>
            </w:pPr>
            <w:r>
              <w:rPr>
                <w:rFonts w:ascii="Wingdings" w:hAnsi="Wingdings" w:eastAsia="宋体" w:cs="Wingdings"/>
                <w:color w:val="000000"/>
                <w:kern w:val="0"/>
                <w:sz w:val="24"/>
                <w:szCs w:val="24"/>
                <w:lang w:bidi="ar"/>
              </w:rPr>
              <w:t>¨</w:t>
            </w:r>
            <w:r>
              <w:rPr>
                <w:rStyle w:val="7"/>
                <w:rFonts w:hint="default"/>
                <w:lang w:bidi="ar"/>
              </w:rPr>
              <w:t xml:space="preserve">发明专利   </w:t>
            </w:r>
            <w:r>
              <w:rPr>
                <w:rStyle w:val="8"/>
                <w:rFonts w:eastAsia="宋体"/>
                <w:lang w:bidi="ar"/>
              </w:rPr>
              <w:sym w:font="Wingdings" w:char="00FE"/>
            </w:r>
            <w:r>
              <w:rPr>
                <w:rStyle w:val="7"/>
                <w:rFonts w:hint="default"/>
                <w:lang w:bidi="ar"/>
              </w:rPr>
              <w:t xml:space="preserve">实用新型专利   </w:t>
            </w:r>
            <w:r>
              <w:rPr>
                <w:rStyle w:val="8"/>
                <w:rFonts w:eastAsia="宋体"/>
                <w:lang w:bidi="ar"/>
              </w:rPr>
              <w:sym w:font="Wingdings" w:char="00FE"/>
            </w:r>
            <w:r>
              <w:rPr>
                <w:rStyle w:val="7"/>
                <w:rFonts w:hint="default"/>
                <w:lang w:bidi="ar"/>
              </w:rPr>
              <w:t xml:space="preserve">软件著作权   </w:t>
            </w:r>
            <w:r>
              <w:rPr>
                <w:rStyle w:val="8"/>
                <w:rFonts w:eastAsia="宋体"/>
                <w:lang w:bidi="ar"/>
              </w:rPr>
              <w:t>¨</w:t>
            </w:r>
            <w:r>
              <w:rPr>
                <w:rStyle w:val="7"/>
                <w:rFonts w:hint="default"/>
                <w:lang w:bidi="ar"/>
              </w:rPr>
              <w:t xml:space="preserve">著作权  </w:t>
            </w:r>
            <w:r>
              <w:rPr>
                <w:rStyle w:val="8"/>
                <w:rFonts w:eastAsia="宋体"/>
                <w:lang w:bidi="ar"/>
              </w:rPr>
              <w:t>¨</w:t>
            </w:r>
            <w:r>
              <w:rPr>
                <w:rStyle w:val="7"/>
                <w:rFonts w:hint="default"/>
                <w:lang w:bidi="ar"/>
              </w:rPr>
              <w:t>商标权</w:t>
            </w:r>
            <w:r>
              <w:rPr>
                <w:rStyle w:val="8"/>
                <w:rFonts w:eastAsia="宋体"/>
                <w:lang w:bidi="ar"/>
              </w:rPr>
              <w:t xml:space="preserve"> </w:t>
            </w:r>
            <w:r>
              <w:rPr>
                <w:rStyle w:val="9"/>
                <w:lang w:bidi="ar"/>
              </w:rPr>
              <w:t>£</w:t>
            </w:r>
            <w:r>
              <w:rPr>
                <w:rStyle w:val="7"/>
                <w:rFonts w:hint="default"/>
                <w:lang w:bidi="ar"/>
              </w:rPr>
              <w:t>外观设计</w:t>
            </w:r>
            <w:r>
              <w:rPr>
                <w:rStyle w:val="8"/>
                <w:rFonts w:eastAsia="宋体"/>
                <w:lang w:bidi="ar"/>
              </w:rPr>
              <w:t xml:space="preserve"> </w:t>
            </w:r>
            <w:r>
              <w:rPr>
                <w:rStyle w:val="9"/>
                <w:lang w:bidi="ar"/>
              </w:rPr>
              <w:t>£</w:t>
            </w:r>
            <w:r>
              <w:rPr>
                <w:rStyle w:val="7"/>
                <w:rFonts w:hint="default"/>
                <w:lang w:bidi="ar"/>
              </w:rPr>
              <w:t xml:space="preserve">新技术   </w:t>
            </w:r>
          </w:p>
        </w:tc>
      </w:tr>
      <w:tr>
        <w:tblPrEx>
          <w:tblCellMar>
            <w:top w:w="0" w:type="dxa"/>
            <w:left w:w="108" w:type="dxa"/>
            <w:bottom w:w="0" w:type="dxa"/>
            <w:right w:w="108" w:type="dxa"/>
          </w:tblCellMar>
        </w:tblPrEx>
        <w:trPr>
          <w:trHeight w:val="6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项目所处阶段</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Wingdings" w:hAnsi="Wingdings" w:eastAsia="宋体" w:cs="Wingdings"/>
                <w:color w:val="000000"/>
                <w:sz w:val="24"/>
                <w:szCs w:val="24"/>
              </w:rPr>
            </w:pPr>
            <w:r>
              <w:rPr>
                <w:rFonts w:ascii="Wingdings" w:hAnsi="Wingdings" w:eastAsia="宋体" w:cs="Wingdings"/>
                <w:color w:val="000000"/>
                <w:kern w:val="0"/>
                <w:sz w:val="24"/>
                <w:szCs w:val="24"/>
                <w:lang w:bidi="ar"/>
              </w:rPr>
              <w:sym w:font="Wingdings" w:char="00FE"/>
            </w:r>
            <w:r>
              <w:rPr>
                <w:rStyle w:val="7"/>
                <w:rFonts w:hint="default"/>
                <w:lang w:bidi="ar"/>
              </w:rPr>
              <w:t xml:space="preserve">种子期      </w:t>
            </w:r>
            <w:r>
              <w:rPr>
                <w:rStyle w:val="8"/>
                <w:rFonts w:eastAsia="宋体"/>
                <w:lang w:bidi="ar"/>
              </w:rPr>
              <w:t>¨</w:t>
            </w:r>
            <w:r>
              <w:rPr>
                <w:rStyle w:val="7"/>
                <w:rFonts w:hint="default"/>
                <w:lang w:bidi="ar"/>
              </w:rPr>
              <w:t xml:space="preserve">成长期     </w:t>
            </w:r>
            <w:r>
              <w:rPr>
                <w:rStyle w:val="8"/>
                <w:rFonts w:eastAsia="宋体"/>
                <w:lang w:bidi="ar"/>
              </w:rPr>
              <w:t>¨</w:t>
            </w:r>
            <w:r>
              <w:rPr>
                <w:rStyle w:val="7"/>
                <w:rFonts w:hint="default"/>
                <w:lang w:bidi="ar"/>
              </w:rPr>
              <w:t xml:space="preserve">成熟期   </w:t>
            </w:r>
            <w:r>
              <w:rPr>
                <w:rStyle w:val="8"/>
                <w:rFonts w:eastAsia="宋体"/>
                <w:lang w:bidi="ar"/>
              </w:rPr>
              <w:t>¨</w:t>
            </w:r>
            <w:r>
              <w:rPr>
                <w:rStyle w:val="7"/>
                <w:rFonts w:hint="default"/>
                <w:lang w:bidi="ar"/>
              </w:rPr>
              <w:t>Pre-IPO</w:t>
            </w:r>
          </w:p>
        </w:tc>
      </w:tr>
      <w:tr>
        <w:tblPrEx>
          <w:tblCellMar>
            <w:top w:w="0" w:type="dxa"/>
            <w:left w:w="108" w:type="dxa"/>
            <w:bottom w:w="0" w:type="dxa"/>
            <w:right w:w="108" w:type="dxa"/>
          </w:tblCellMar>
        </w:tblPrEx>
        <w:trPr>
          <w:trHeight w:val="6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本次融资轮次</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Wingdings" w:hAnsi="Wingdings" w:eastAsia="宋体" w:cs="Wingdings"/>
                <w:color w:val="000000"/>
                <w:sz w:val="24"/>
                <w:szCs w:val="24"/>
              </w:rPr>
            </w:pPr>
            <w:r>
              <w:rPr>
                <w:rFonts w:ascii="Wingdings" w:hAnsi="Wingdings" w:eastAsia="宋体" w:cs="Wingdings"/>
                <w:color w:val="000000"/>
                <w:kern w:val="0"/>
                <w:sz w:val="24"/>
                <w:szCs w:val="24"/>
                <w:lang w:bidi="ar"/>
              </w:rPr>
              <w:t>¨</w:t>
            </w:r>
            <w:r>
              <w:rPr>
                <w:rStyle w:val="7"/>
                <w:rFonts w:hint="default"/>
                <w:lang w:bidi="ar"/>
              </w:rPr>
              <w:t xml:space="preserve">天使   </w:t>
            </w:r>
            <w:r>
              <w:rPr>
                <w:rStyle w:val="8"/>
                <w:rFonts w:eastAsia="宋体"/>
                <w:lang w:bidi="ar"/>
              </w:rPr>
              <w:t>¨</w:t>
            </w:r>
            <w:r>
              <w:rPr>
                <w:rStyle w:val="7"/>
                <w:rFonts w:hint="default"/>
                <w:lang w:bidi="ar"/>
              </w:rPr>
              <w:t xml:space="preserve">Pre-A   </w:t>
            </w:r>
            <w:r>
              <w:rPr>
                <w:rStyle w:val="8"/>
                <w:rFonts w:eastAsia="宋体"/>
                <w:lang w:bidi="ar"/>
              </w:rPr>
              <w:t>¨</w:t>
            </w:r>
            <w:r>
              <w:rPr>
                <w:rStyle w:val="7"/>
                <w:rFonts w:hint="default"/>
                <w:lang w:bidi="ar"/>
              </w:rPr>
              <w:t xml:space="preserve">A轮   </w:t>
            </w:r>
            <w:r>
              <w:rPr>
                <w:rStyle w:val="8"/>
                <w:rFonts w:eastAsia="宋体"/>
                <w:lang w:bidi="ar"/>
              </w:rPr>
              <w:t>¨</w:t>
            </w:r>
            <w:r>
              <w:rPr>
                <w:rStyle w:val="7"/>
                <w:rFonts w:hint="default"/>
                <w:lang w:bidi="ar"/>
              </w:rPr>
              <w:t xml:space="preserve">B轮  </w:t>
            </w:r>
            <w:r>
              <w:rPr>
                <w:rStyle w:val="8"/>
                <w:rFonts w:eastAsia="宋体"/>
                <w:lang w:bidi="ar"/>
              </w:rPr>
              <w:t>¨</w:t>
            </w:r>
            <w:r>
              <w:rPr>
                <w:rStyle w:val="7"/>
                <w:rFonts w:hint="default"/>
                <w:lang w:bidi="ar"/>
              </w:rPr>
              <w:t xml:space="preserve">C轮及以上   </w:t>
            </w:r>
          </w:p>
        </w:tc>
      </w:tr>
      <w:tr>
        <w:tblPrEx>
          <w:tblCellMar>
            <w:top w:w="0" w:type="dxa"/>
            <w:left w:w="108" w:type="dxa"/>
            <w:bottom w:w="0" w:type="dxa"/>
            <w:right w:w="108" w:type="dxa"/>
          </w:tblCellMar>
        </w:tblPrEx>
        <w:trPr>
          <w:trHeight w:val="740" w:hRule="atLeast"/>
        </w:trPr>
        <w:tc>
          <w:tcPr>
            <w:tcW w:w="229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推广诉求（根据自身情况勾选，可多选）</w:t>
            </w:r>
          </w:p>
        </w:tc>
        <w:tc>
          <w:tcPr>
            <w:tcW w:w="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4540"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融资需求（融资需求请详细填写以下涉及融资的问题）</w:t>
            </w:r>
          </w:p>
        </w:tc>
        <w:tc>
          <w:tcPr>
            <w:tcW w:w="3110" w:type="dxa"/>
            <w:gridSpan w:val="3"/>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720" w:hRule="atLeast"/>
        </w:trPr>
        <w:tc>
          <w:tcPr>
            <w:tcW w:w="22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8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4540"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落地需求（意向区域：</w:t>
            </w:r>
            <w:r>
              <w:rPr>
                <w:rStyle w:val="11"/>
                <w:rFonts w:hint="default"/>
                <w:lang w:bidi="ar"/>
              </w:rPr>
              <w:t xml:space="preserve">                   </w:t>
            </w:r>
            <w:r>
              <w:rPr>
                <w:rStyle w:val="7"/>
                <w:rFonts w:hint="default"/>
                <w:lang w:bidi="ar"/>
              </w:rPr>
              <w:t>）</w:t>
            </w:r>
          </w:p>
        </w:tc>
        <w:tc>
          <w:tcPr>
            <w:tcW w:w="3110" w:type="dxa"/>
            <w:gridSpan w:val="3"/>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780" w:hRule="atLeast"/>
        </w:trPr>
        <w:tc>
          <w:tcPr>
            <w:tcW w:w="22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287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46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应用场景需求（意向的行业或企业：</w:t>
            </w:r>
            <w:r>
              <w:rPr>
                <w:rStyle w:val="11"/>
                <w:rFonts w:hint="default"/>
                <w:lang w:bidi="ar"/>
              </w:rPr>
              <w:t xml:space="preserve">  </w:t>
            </w:r>
            <w:r>
              <w:rPr>
                <w:rStyle w:val="11"/>
                <w:rFonts w:hint="eastAsia" w:eastAsia="宋体"/>
                <w:lang w:val="en-US" w:eastAsia="zh-CN" w:bidi="ar"/>
              </w:rPr>
              <w:t>部队及科研院所</w:t>
            </w:r>
            <w:r>
              <w:rPr>
                <w:rStyle w:val="11"/>
                <w:rFonts w:hint="default"/>
                <w:lang w:bidi="ar"/>
              </w:rPr>
              <w:t xml:space="preserve">                 </w:t>
            </w:r>
            <w:r>
              <w:rPr>
                <w:rStyle w:val="7"/>
                <w:rFonts w:hint="default"/>
                <w:lang w:bidi="ar"/>
              </w:rPr>
              <w:t>）</w:t>
            </w:r>
          </w:p>
        </w:tc>
        <w:tc>
          <w:tcPr>
            <w:tcW w:w="3110" w:type="dxa"/>
            <w:gridSpan w:val="3"/>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760" w:hRule="atLeast"/>
        </w:trPr>
        <w:tc>
          <w:tcPr>
            <w:tcW w:w="22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287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468"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其他（请根据情况填写：</w:t>
            </w:r>
            <w:r>
              <w:rPr>
                <w:rStyle w:val="11"/>
                <w:rFonts w:hint="default"/>
                <w:lang w:bidi="ar"/>
              </w:rPr>
              <w:t xml:space="preserve">   </w:t>
            </w:r>
            <w:r>
              <w:rPr>
                <w:rStyle w:val="11"/>
                <w:rFonts w:hint="eastAsia" w:eastAsia="宋体"/>
                <w:lang w:val="en-US" w:eastAsia="zh-CN" w:bidi="ar"/>
              </w:rPr>
              <w:t>无</w:t>
            </w:r>
            <w:r>
              <w:rPr>
                <w:rStyle w:val="11"/>
                <w:rFonts w:hint="default"/>
                <w:lang w:bidi="ar"/>
              </w:rPr>
              <w:t xml:space="preserve">                     </w:t>
            </w:r>
            <w:r>
              <w:rPr>
                <w:rStyle w:val="7"/>
                <w:rFonts w:hint="default"/>
                <w:lang w:bidi="ar"/>
              </w:rPr>
              <w:t>）</w:t>
            </w:r>
          </w:p>
        </w:tc>
        <w:tc>
          <w:tcPr>
            <w:tcW w:w="3110" w:type="dxa"/>
            <w:gridSpan w:val="3"/>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22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企业简介和项目</w:t>
            </w:r>
          </w:p>
        </w:tc>
        <w:tc>
          <w:tcPr>
            <w:tcW w:w="8455" w:type="dxa"/>
            <w:gridSpan w:val="6"/>
            <w:tcBorders>
              <w:top w:val="nil"/>
              <w:left w:val="nil"/>
              <w:bottom w:val="single" w:color="000000" w:sz="8" w:space="0"/>
              <w:right w:val="single" w:color="000000" w:sz="8" w:space="0"/>
            </w:tcBorders>
            <w:shd w:val="clear" w:color="auto" w:fill="auto"/>
            <w:vAlign w:val="center"/>
          </w:tcPr>
          <w:p>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天津可宏振星光电科技有限公司是专业从事测控与指控技术开发、高端光机电装备产品研制的高新技术企业。</w:t>
            </w:r>
          </w:p>
          <w:p>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主要为导弹制导探测系统、陆空载具光电观瞄跟踪设备和人机交互设备提供相关光电、机电产品配套和测试试验保障设备与服务。</w:t>
            </w:r>
          </w:p>
          <w:p>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累计获得专利授权数十项，国家级奖项一次，天津市奖项两次。</w:t>
            </w:r>
          </w:p>
          <w:p>
            <w:pPr>
              <w:widowControl/>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公司研发的</w:t>
            </w:r>
            <w:r>
              <w:rPr>
                <w:rFonts w:hint="eastAsia" w:ascii="宋体" w:hAnsi="宋体" w:eastAsia="宋体" w:cs="宋体"/>
                <w:color w:val="000000"/>
                <w:sz w:val="24"/>
                <w:szCs w:val="24"/>
                <w:lang w:val="en-US" w:eastAsia="zh-CN"/>
              </w:rPr>
              <w:t>特种装备的人机功效评测</w:t>
            </w:r>
            <w:r>
              <w:rPr>
                <w:rFonts w:hint="eastAsia" w:ascii="宋体" w:hAnsi="宋体" w:eastAsia="宋体" w:cs="宋体"/>
                <w:color w:val="000000"/>
                <w:sz w:val="24"/>
                <w:szCs w:val="24"/>
              </w:rPr>
              <w:t>系统是面向装备试验和训练的一站式解决方案。以多</w:t>
            </w:r>
            <w:bookmarkStart w:id="0" w:name="_GoBack"/>
            <w:bookmarkEnd w:id="0"/>
            <w:r>
              <w:rPr>
                <w:rFonts w:hint="eastAsia" w:ascii="宋体" w:hAnsi="宋体" w:eastAsia="宋体" w:cs="宋体"/>
                <w:color w:val="000000"/>
                <w:sz w:val="24"/>
                <w:szCs w:val="24"/>
              </w:rPr>
              <w:t>源数据无损采集、智能处理与识别、数据挖掘分析与评估作为核心，实现对作战试验数据的测得到、测得准、评价可靠。</w:t>
            </w:r>
          </w:p>
          <w:p>
            <w:pPr>
              <w:widowControl/>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1892"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主要产品与服务</w:t>
            </w:r>
          </w:p>
        </w:tc>
        <w:tc>
          <w:tcPr>
            <w:tcW w:w="8455" w:type="dxa"/>
            <w:gridSpan w:val="6"/>
            <w:tcBorders>
              <w:top w:val="nil"/>
              <w:left w:val="nil"/>
              <w:bottom w:val="single" w:color="000000" w:sz="8" w:space="0"/>
              <w:right w:val="single" w:color="000000" w:sz="8" w:space="0"/>
            </w:tcBorders>
            <w:shd w:val="clear" w:color="auto" w:fill="auto"/>
            <w:vAlign w:val="center"/>
          </w:tcPr>
          <w:p>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b/>
                <w:bCs/>
                <w:szCs w:val="21"/>
              </w:rPr>
              <w:t>一、</w:t>
            </w:r>
            <w:r>
              <w:rPr>
                <w:rFonts w:hint="eastAsia" w:ascii="宋体" w:hAnsi="宋体" w:eastAsia="宋体"/>
                <w:b/>
                <w:bCs/>
                <w:szCs w:val="21"/>
                <w:lang w:val="en-US" w:eastAsia="zh-CN"/>
              </w:rPr>
              <w:t>产品背景</w:t>
            </w:r>
            <w:r>
              <w:rPr>
                <w:rFonts w:hint="eastAsia" w:ascii="宋体" w:hAnsi="宋体" w:eastAsia="宋体"/>
                <w:b/>
                <w:bCs/>
                <w:szCs w:val="21"/>
              </w:rPr>
              <w:t>：</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随着“十四五”对国防军队的战略部署要求和“工业4.0”时代的到来，智能化、复杂化的大型设备势必会迎来井喷式生产。这其中，特种装备的研发与使用在军工部门，工信部、国有企业，民营企业中均有广泛涉及。特种装备通常是指武器装备、轨道交通装备、光电设备、工程机械设备、航空航天装备以及应急安全装备等专业性较强、危险性较高的基础性装备。这种特种装备对于工作人员的操作水平要求极高，对于装备的测试与管理要求极其严格，但当前对于新产品的研发和在役装备的故障诊断通常是依靠专家通过自己的主观判断来提出研发建议，或依靠有经验的工作人员来确定装备的状态，并进行故障诊断与维修。目前尚没有一种科学的通用评估指标体系来对特种装备的人机功效进行评测，也没有出现相关技术研究和商业产品，具有很大的市场空间和缺口。</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针对上述情况，我公司从特种装备研发过程中人机交互的设计优化和对在役特种装备的安全监管、风险评估及升级改造等方面入手，研究特种装备产品人机功效评测新技术，提出通用性人机交互新技术，使之适用于军事、应急、安防、巡检、光电、交通、科学探索等领域特种装备的人机功效评测。研制集数据采集传输、处理识别与统计分析于一体的智能化评测软件，该软件不仅可以用评测报告的形式来解决新研发产品人机交互存在的问题及在役特种装备在运行过程中的状态监测，同时可以用于相关工作人员的技术培训及统计数据的延伸使用当中。该技术及其孵化的产品可广泛应用于军事、应急、安防、巡检、科学探索等领域的多种特种设备的评测，具有广泛的市场潜力，市场价值巨大。</w:t>
            </w:r>
          </w:p>
          <w:p>
            <w:pPr>
              <w:snapToGrid w:val="0"/>
              <w:spacing w:line="360" w:lineRule="auto"/>
              <w:jc w:val="left"/>
              <w:rPr>
                <w:rFonts w:hint="eastAsia" w:ascii="宋体" w:hAnsi="宋体" w:eastAsia="宋体" w:cs="Times New Roman"/>
                <w:szCs w:val="21"/>
                <w:lang w:val="en-US" w:eastAsia="zh-CN"/>
              </w:rPr>
            </w:pPr>
            <w:r>
              <w:rPr>
                <w:rFonts w:hint="eastAsia" w:ascii="宋体" w:hAnsi="宋体" w:eastAsia="宋体"/>
                <w:b/>
                <w:bCs/>
                <w:szCs w:val="21"/>
                <w:lang w:val="en-US" w:eastAsia="zh-CN"/>
              </w:rPr>
              <w:t>二</w:t>
            </w:r>
            <w:r>
              <w:rPr>
                <w:rFonts w:hint="eastAsia" w:ascii="宋体" w:hAnsi="宋体" w:eastAsia="宋体"/>
                <w:b/>
                <w:bCs/>
                <w:szCs w:val="21"/>
              </w:rPr>
              <w:t>、核心技术：</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主要开展</w:t>
            </w:r>
            <w:r>
              <w:rPr>
                <w:rFonts w:hint="eastAsia" w:ascii="宋体" w:hAnsi="宋体" w:eastAsia="宋体"/>
                <w:szCs w:val="21"/>
                <w:lang w:val="en-US" w:eastAsia="zh-CN"/>
              </w:rPr>
              <w:t>特种装备产品人机功效评测技术</w:t>
            </w:r>
            <w:r>
              <w:rPr>
                <w:rFonts w:hint="eastAsia" w:ascii="宋体" w:hAnsi="宋体" w:eastAsia="宋体"/>
                <w:szCs w:val="21"/>
              </w:rPr>
              <w:t>研究、</w:t>
            </w:r>
            <w:r>
              <w:rPr>
                <w:rFonts w:hint="eastAsia" w:ascii="宋体" w:hAnsi="宋体" w:eastAsia="宋体"/>
                <w:szCs w:val="21"/>
                <w:lang w:val="en-US" w:eastAsia="zh-CN"/>
              </w:rPr>
              <w:t>多源数据采集与信息融合技术</w:t>
            </w:r>
            <w:r>
              <w:rPr>
                <w:rFonts w:hint="eastAsia" w:ascii="宋体" w:hAnsi="宋体" w:eastAsia="宋体"/>
                <w:szCs w:val="21"/>
              </w:rPr>
              <w:t>研究、</w:t>
            </w:r>
            <w:r>
              <w:rPr>
                <w:rFonts w:hint="eastAsia" w:ascii="宋体" w:hAnsi="宋体" w:eastAsia="宋体"/>
                <w:szCs w:val="21"/>
                <w:lang w:val="en-US" w:eastAsia="zh-CN"/>
              </w:rPr>
              <w:t>基于深度学习的数据处理与识别技术研究、基于数据挖掘的统计与分析评估技术研究及多路数据时统技术研究</w:t>
            </w:r>
            <w:r>
              <w:rPr>
                <w:rFonts w:hint="eastAsia" w:ascii="宋体" w:hAnsi="宋体" w:eastAsia="宋体"/>
                <w:szCs w:val="21"/>
              </w:rPr>
              <w:t>。</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1、多源数据无损采集与信息融合技术；</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2、基于深度学习的音视频数据智能处理与识别技术；</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3、基于数据挖掘的采集数据统计与分析评估技术；</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4、多路数据分布式协同时统技术；</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由本产品主要应用于</w:t>
            </w:r>
            <w:r>
              <w:rPr>
                <w:rFonts w:hint="eastAsia" w:ascii="宋体" w:hAnsi="宋体" w:eastAsia="宋体"/>
                <w:szCs w:val="21"/>
                <w:lang w:val="en-US" w:eastAsia="zh-CN"/>
              </w:rPr>
              <w:t>特种装备新产品上市前和在役特种装备健康度评估</w:t>
            </w:r>
            <w:r>
              <w:rPr>
                <w:rFonts w:hint="eastAsia" w:ascii="宋体" w:hAnsi="宋体" w:eastAsia="宋体"/>
                <w:szCs w:val="21"/>
              </w:rPr>
              <w:t>等相关</w:t>
            </w:r>
            <w:r>
              <w:rPr>
                <w:rFonts w:hint="eastAsia" w:ascii="宋体" w:hAnsi="宋体" w:eastAsia="宋体"/>
                <w:szCs w:val="21"/>
                <w:lang w:val="en-US" w:eastAsia="zh-CN"/>
              </w:rPr>
              <w:t>特种装备的人机功效评测</w:t>
            </w:r>
            <w:r>
              <w:rPr>
                <w:rFonts w:hint="eastAsia" w:ascii="宋体" w:hAnsi="宋体" w:eastAsia="宋体"/>
                <w:szCs w:val="21"/>
              </w:rPr>
              <w:t>，</w:t>
            </w:r>
            <w:r>
              <w:rPr>
                <w:rFonts w:hint="eastAsia" w:ascii="宋体" w:hAnsi="宋体" w:eastAsia="宋体"/>
                <w:szCs w:val="21"/>
                <w:lang w:val="en-US" w:eastAsia="zh-CN"/>
              </w:rPr>
              <w:t>特种装备</w:t>
            </w:r>
            <w:r>
              <w:rPr>
                <w:rFonts w:hint="eastAsia" w:ascii="宋体" w:hAnsi="宋体" w:eastAsia="宋体"/>
                <w:szCs w:val="21"/>
              </w:rPr>
              <w:t>按应用可分为军用</w:t>
            </w:r>
            <w:r>
              <w:rPr>
                <w:rFonts w:hint="eastAsia" w:ascii="宋体" w:hAnsi="宋体" w:eastAsia="宋体"/>
                <w:szCs w:val="21"/>
                <w:lang w:val="en-US" w:eastAsia="zh-CN"/>
              </w:rPr>
              <w:t>特种装备和</w:t>
            </w:r>
            <w:r>
              <w:rPr>
                <w:rFonts w:hint="eastAsia" w:ascii="宋体" w:hAnsi="宋体" w:eastAsia="宋体"/>
                <w:szCs w:val="21"/>
              </w:rPr>
              <w:t>民用</w:t>
            </w:r>
            <w:r>
              <w:rPr>
                <w:rFonts w:hint="eastAsia" w:ascii="宋体" w:hAnsi="宋体" w:eastAsia="宋体"/>
                <w:szCs w:val="21"/>
                <w:lang w:val="en-US" w:eastAsia="zh-CN"/>
              </w:rPr>
              <w:t>特种装备</w:t>
            </w:r>
            <w:r>
              <w:rPr>
                <w:rFonts w:hint="eastAsia" w:ascii="宋体" w:hAnsi="宋体" w:eastAsia="宋体"/>
                <w:szCs w:val="21"/>
              </w:rPr>
              <w:t>。从需求来看，</w:t>
            </w:r>
            <w:r>
              <w:rPr>
                <w:rFonts w:hint="eastAsia" w:ascii="宋体" w:hAnsi="宋体" w:eastAsia="宋体"/>
                <w:szCs w:val="21"/>
                <w:lang w:val="en-US" w:eastAsia="zh-CN"/>
              </w:rPr>
              <w:t>军用特种装备评测需求较大，军队的作战试验领域主要是对军用新产品和在役武器装备进行作战效能及适用性评估，急需一套科学的评测体系对武器装备进行人机功效评测。民用特种装备呈现对于在役设备的整体健康度评价和零部件的磨损预测，通过对在役特种设备的风险管控来实现设备的故障诊断与维修指导。</w:t>
            </w:r>
            <w:r>
              <w:rPr>
                <w:rFonts w:hint="eastAsia" w:ascii="宋体" w:hAnsi="宋体" w:eastAsia="宋体"/>
                <w:szCs w:val="21"/>
              </w:rPr>
              <w:t>从供给端来看，类比机器人，处于“微笑曲线”两端的军用无人终端研制、飞控系统、关键零部件制造以及终端应用服务将是</w:t>
            </w:r>
            <w:r>
              <w:rPr>
                <w:rFonts w:hint="eastAsia" w:ascii="宋体" w:hAnsi="宋体" w:eastAsia="宋体"/>
                <w:szCs w:val="21"/>
                <w:lang w:val="en-US" w:eastAsia="zh-CN"/>
              </w:rPr>
              <w:t>武器装备评测</w:t>
            </w:r>
            <w:r>
              <w:rPr>
                <w:rFonts w:hint="eastAsia" w:ascii="宋体" w:hAnsi="宋体" w:eastAsia="宋体"/>
                <w:szCs w:val="21"/>
              </w:rPr>
              <w:t>终端产业链中附加值和壁垒最高，并且最值得看好的领域。</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该类</w:t>
            </w:r>
            <w:r>
              <w:rPr>
                <w:rFonts w:hint="eastAsia" w:ascii="宋体" w:hAnsi="宋体" w:eastAsia="宋体"/>
                <w:szCs w:val="21"/>
                <w:lang w:val="en-US" w:eastAsia="zh-CN"/>
              </w:rPr>
              <w:t>特种装备</w:t>
            </w:r>
            <w:r>
              <w:rPr>
                <w:rFonts w:hint="eastAsia" w:ascii="宋体" w:hAnsi="宋体" w:eastAsia="宋体"/>
                <w:szCs w:val="21"/>
              </w:rPr>
              <w:t>的人机交互</w:t>
            </w:r>
            <w:r>
              <w:rPr>
                <w:rFonts w:hint="eastAsia" w:ascii="宋体" w:hAnsi="宋体" w:eastAsia="宋体"/>
                <w:szCs w:val="21"/>
                <w:lang w:val="en-US" w:eastAsia="zh-CN"/>
              </w:rPr>
              <w:t>与功效评测</w:t>
            </w:r>
            <w:r>
              <w:rPr>
                <w:rFonts w:hint="eastAsia" w:ascii="宋体" w:hAnsi="宋体" w:eastAsia="宋体"/>
                <w:szCs w:val="21"/>
              </w:rPr>
              <w:t>目前在研</w:t>
            </w:r>
            <w:r>
              <w:rPr>
                <w:rFonts w:hint="eastAsia" w:ascii="宋体" w:hAnsi="宋体" w:eastAsia="宋体"/>
                <w:szCs w:val="21"/>
                <w:lang w:val="en-US" w:eastAsia="zh-CN"/>
              </w:rPr>
              <w:t>发</w:t>
            </w:r>
            <w:r>
              <w:rPr>
                <w:rFonts w:hint="eastAsia" w:ascii="宋体" w:hAnsi="宋体" w:eastAsia="宋体"/>
                <w:szCs w:val="21"/>
              </w:rPr>
              <w:t>过程中属于非标准化与定制化产品。随着产品的生命周期和开发周期日益缩短，客户的要求越来越苛刻，产品功能越来越复杂，该产品的研</w:t>
            </w:r>
            <w:r>
              <w:rPr>
                <w:rFonts w:hint="eastAsia" w:ascii="宋体" w:hAnsi="宋体" w:eastAsia="宋体"/>
                <w:szCs w:val="21"/>
                <w:lang w:val="en-US" w:eastAsia="zh-CN"/>
              </w:rPr>
              <w:t>发</w:t>
            </w:r>
            <w:r>
              <w:rPr>
                <w:rFonts w:hint="eastAsia" w:ascii="宋体" w:hAnsi="宋体" w:eastAsia="宋体"/>
                <w:szCs w:val="21"/>
              </w:rPr>
              <w:t>生产有以下策略：模块化的标准产品，满足差异化的用户需求。</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1、围绕标准化技术进行定制化服务，</w:t>
            </w:r>
            <w:r>
              <w:rPr>
                <w:rFonts w:hint="eastAsia" w:ascii="宋体" w:hAnsi="宋体" w:eastAsia="宋体"/>
                <w:szCs w:val="21"/>
                <w:lang w:val="en-US" w:eastAsia="zh-CN"/>
              </w:rPr>
              <w:t>当前尚没有一种通用的科学的特种装备评测指标体系</w:t>
            </w:r>
            <w:r>
              <w:rPr>
                <w:rFonts w:hint="eastAsia" w:ascii="宋体" w:hAnsi="宋体" w:eastAsia="宋体"/>
                <w:szCs w:val="21"/>
              </w:rPr>
              <w:t>，</w:t>
            </w:r>
            <w:r>
              <w:rPr>
                <w:rFonts w:hint="eastAsia" w:ascii="宋体" w:hAnsi="宋体" w:eastAsia="宋体"/>
                <w:szCs w:val="21"/>
                <w:lang w:val="en-US" w:eastAsia="zh-CN"/>
              </w:rPr>
              <w:t>因此</w:t>
            </w:r>
            <w:r>
              <w:rPr>
                <w:rFonts w:hint="eastAsia" w:ascii="宋体" w:hAnsi="宋体" w:eastAsia="宋体"/>
                <w:szCs w:val="21"/>
              </w:rPr>
              <w:t>可以围绕特定产量较大的</w:t>
            </w:r>
            <w:r>
              <w:rPr>
                <w:rFonts w:hint="eastAsia" w:ascii="宋体" w:hAnsi="宋体" w:eastAsia="宋体"/>
                <w:szCs w:val="21"/>
                <w:lang w:val="en-US" w:eastAsia="zh-CN"/>
              </w:rPr>
              <w:t>军队作战试验</w:t>
            </w:r>
            <w:r>
              <w:rPr>
                <w:rFonts w:hint="eastAsia" w:ascii="宋体" w:hAnsi="宋体" w:eastAsia="宋体"/>
                <w:szCs w:val="21"/>
              </w:rPr>
              <w:t>及</w:t>
            </w:r>
            <w:r>
              <w:rPr>
                <w:rFonts w:hint="eastAsia" w:ascii="宋体" w:hAnsi="宋体" w:eastAsia="宋体"/>
                <w:szCs w:val="21"/>
                <w:lang w:val="en-US" w:eastAsia="zh-CN"/>
              </w:rPr>
              <w:t>军用特种设备</w:t>
            </w:r>
            <w:r>
              <w:rPr>
                <w:rFonts w:hint="eastAsia" w:ascii="宋体" w:hAnsi="宋体" w:eastAsia="宋体"/>
                <w:szCs w:val="21"/>
              </w:rPr>
              <w:t>产品组合在一起，并提供定制化服务，以满足客户个性化要求。同时可根据现有合作单位的需求，为特种</w:t>
            </w:r>
            <w:r>
              <w:rPr>
                <w:rFonts w:hint="eastAsia" w:ascii="宋体" w:hAnsi="宋体" w:eastAsia="宋体"/>
                <w:szCs w:val="21"/>
                <w:lang w:val="en-US" w:eastAsia="zh-CN"/>
              </w:rPr>
              <w:t>设备</w:t>
            </w:r>
            <w:r>
              <w:rPr>
                <w:rFonts w:hint="eastAsia" w:ascii="宋体" w:hAnsi="宋体" w:eastAsia="宋体"/>
                <w:szCs w:val="21"/>
              </w:rPr>
              <w:t>人机交互</w:t>
            </w:r>
            <w:r>
              <w:rPr>
                <w:rFonts w:hint="eastAsia" w:ascii="宋体" w:hAnsi="宋体" w:eastAsia="宋体"/>
                <w:szCs w:val="21"/>
                <w:lang w:val="en-US" w:eastAsia="zh-CN"/>
              </w:rPr>
              <w:t>与功效评测</w:t>
            </w:r>
            <w:r>
              <w:rPr>
                <w:rFonts w:hint="eastAsia" w:ascii="宋体" w:hAnsi="宋体" w:eastAsia="宋体"/>
                <w:szCs w:val="21"/>
              </w:rPr>
              <w:t>提供定制化服务，提升产品规模及影响力。</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2、实现大规模定制的最好办法是建立能配置成多种最终产品的模块化架构，提供标准化零部件的定制化不仅能增加产品多样化，同时也能降低制造成本，使得进行全新设计的产品开发和增加品种的变型设计速度更快。如设计通用型</w:t>
            </w:r>
            <w:r>
              <w:rPr>
                <w:rFonts w:hint="eastAsia" w:ascii="宋体" w:hAnsi="宋体" w:eastAsia="宋体"/>
                <w:szCs w:val="21"/>
                <w:lang w:val="en-US" w:eastAsia="zh-CN"/>
              </w:rPr>
              <w:t>特种设备评估</w:t>
            </w:r>
            <w:r>
              <w:rPr>
                <w:rFonts w:hint="eastAsia" w:ascii="宋体" w:hAnsi="宋体" w:eastAsia="宋体"/>
                <w:szCs w:val="21"/>
              </w:rPr>
              <w:t>模块、设计系列化地面终端，满足不同客户多元化需求，提升产品生产效率。</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行业的下游客户多为部队、科研院所、</w:t>
            </w:r>
            <w:r>
              <w:rPr>
                <w:rFonts w:hint="eastAsia" w:ascii="宋体" w:hAnsi="宋体" w:eastAsia="宋体"/>
                <w:szCs w:val="21"/>
                <w:lang w:val="en-US" w:eastAsia="zh-CN"/>
              </w:rPr>
              <w:t>特种装备</w:t>
            </w:r>
            <w:r>
              <w:rPr>
                <w:rFonts w:hint="eastAsia" w:ascii="宋体" w:hAnsi="宋体" w:eastAsia="宋体"/>
                <w:szCs w:val="21"/>
              </w:rPr>
              <w:t>厂商等。行业产品应用属于模块化标准产品，客户需求各有不同，需要随时跟进客户需求，对产品功能和指标等进行调节。同时涉及部队与科研院所等客户群体，对于产品有高可靠性、稳定性的要求。</w:t>
            </w:r>
          </w:p>
          <w:p>
            <w:pPr>
              <w:snapToGrid w:val="0"/>
              <w:spacing w:line="360" w:lineRule="auto"/>
              <w:jc w:val="left"/>
              <w:rPr>
                <w:rFonts w:hint="eastAsia" w:ascii="宋体" w:hAnsi="宋体" w:eastAsia="宋体"/>
                <w:b/>
                <w:bCs/>
                <w:szCs w:val="21"/>
              </w:rPr>
            </w:pPr>
            <w:r>
              <w:rPr>
                <w:rFonts w:hint="eastAsia" w:ascii="宋体" w:hAnsi="宋体" w:eastAsia="宋体"/>
                <w:b/>
                <w:bCs/>
                <w:szCs w:val="21"/>
                <w:lang w:val="en-US" w:eastAsia="zh-CN"/>
              </w:rPr>
              <w:t>三</w:t>
            </w:r>
            <w:r>
              <w:rPr>
                <w:rFonts w:hint="eastAsia" w:ascii="宋体" w:hAnsi="宋体" w:eastAsia="宋体"/>
                <w:b/>
                <w:bCs/>
                <w:szCs w:val="21"/>
              </w:rPr>
              <w:t>、产品技术创新点</w:t>
            </w:r>
          </w:p>
          <w:p>
            <w:pPr>
              <w:snapToGrid w:val="0"/>
              <w:spacing w:line="360" w:lineRule="auto"/>
              <w:ind w:firstLine="422" w:firstLineChars="200"/>
              <w:jc w:val="left"/>
              <w:rPr>
                <w:rFonts w:hint="eastAsia" w:ascii="宋体" w:hAnsi="宋体" w:eastAsia="宋体"/>
                <w:b/>
                <w:bCs/>
                <w:szCs w:val="21"/>
              </w:rPr>
            </w:pPr>
            <w:r>
              <w:rPr>
                <w:rFonts w:hint="eastAsia" w:ascii="宋体" w:hAnsi="宋体" w:eastAsia="宋体"/>
                <w:b/>
                <w:bCs/>
                <w:szCs w:val="21"/>
              </w:rPr>
              <w:t>1）主要创新点：</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多源数据信息融合技术。</w:t>
            </w:r>
            <w:r>
              <w:rPr>
                <w:rFonts w:hint="default" w:ascii="宋体" w:hAnsi="宋体" w:eastAsia="宋体" w:cs="Times New Roman"/>
                <w:szCs w:val="21"/>
                <w:lang w:val="en-US" w:eastAsia="zh-CN"/>
              </w:rPr>
              <w:t>对于涵盖军事和民用在内的更为广泛的领域而言，数据融合技术就是对某个目标描述不完整的多个信息，经过某些处理和分析手段，获得对该目标较为完整和准确的描述，为更加准确的决策和判断做出支持</w:t>
            </w:r>
            <w:r>
              <w:rPr>
                <w:rFonts w:hint="eastAsia" w:ascii="宋体" w:hAnsi="宋体" w:eastAsia="宋体" w:cs="Times New Roman"/>
                <w:szCs w:val="21"/>
                <w:lang w:val="en-US" w:eastAsia="zh-CN"/>
              </w:rPr>
              <w:t>。并支持多种数据管理编码格式，生成的视频编码文件具有大压缩比和高清晰度，由若干个（与视频文件大小相关）能独立解码的数据段构成，每个数据段均可播放且不相互依赖，大大提高了数据的安全性。</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建立基于对抗神经网络的数据处理识别模型</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图像识别中最核心的问题是如何准确的对目标图像进行分类，而最核心的指标就是识别准确率即分类器对一组目标图片进行分类，其中正确分类的图片占所有图片的比例</w:t>
            </w:r>
            <w:r>
              <w:rPr>
                <w:rFonts w:hint="eastAsia" w:ascii="宋体" w:hAnsi="宋体" w:eastAsia="宋体" w:cs="Times New Roman"/>
                <w:szCs w:val="21"/>
                <w:lang w:val="en-US" w:eastAsia="zh-CN"/>
              </w:rPr>
              <w:t>。生成对抗网络作为生成式模型，能够学习原有样本特征生成图像样本。</w:t>
            </w:r>
          </w:p>
          <w:p>
            <w:pPr>
              <w:snapToGrid w:val="0"/>
              <w:spacing w:line="360" w:lineRule="auto"/>
              <w:ind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rPr>
              <w:t>3、</w:t>
            </w:r>
            <w:r>
              <w:rPr>
                <w:rFonts w:hint="eastAsia" w:ascii="宋体" w:hAnsi="宋体" w:eastAsia="宋体" w:cs="Times New Roman"/>
                <w:szCs w:val="21"/>
                <w:lang w:val="en-US" w:eastAsia="zh-CN"/>
              </w:rPr>
              <w:t>数据挖掘与分析评估体系构建。</w:t>
            </w:r>
            <w:r>
              <w:rPr>
                <w:rFonts w:hint="default" w:ascii="宋体" w:hAnsi="宋体" w:eastAsia="宋体" w:cs="Times New Roman"/>
                <w:szCs w:val="21"/>
                <w:lang w:val="en-US" w:eastAsia="zh-CN"/>
              </w:rPr>
              <w:t>数据挖掘技术却可以从中抽象出一些隐含的有用的信息，通过发现不同数据之间的关联或规律，为决策者提供更精准的决策依据。一是进行任务预测，即根据一些数据属性预测某个特定属性的值，以达到提前预判的目的。二是进行任务描述，即通过一些特有的模式（如相关、趋势、聚类、异常等）来概括数据中一些潜在联系的特点，以进行某些特性的探查，从而得出规律性的东西。</w:t>
            </w:r>
          </w:p>
          <w:p>
            <w:pPr>
              <w:snapToGrid w:val="0"/>
              <w:spacing w:line="360" w:lineRule="auto"/>
              <w:ind w:firstLine="420" w:firstLineChars="200"/>
              <w:jc w:val="left"/>
              <w:rPr>
                <w:rFonts w:hint="eastAsia" w:ascii="宋体" w:hAnsi="宋体" w:eastAsia="宋体"/>
                <w:szCs w:val="21"/>
              </w:rPr>
            </w:pPr>
            <w:r>
              <w:rPr>
                <w:rFonts w:hint="eastAsia" w:ascii="宋体" w:hAnsi="宋体" w:eastAsia="宋体" w:cs="Times New Roman"/>
                <w:szCs w:val="21"/>
                <w:lang w:val="en-US" w:eastAsia="zh-CN"/>
              </w:rPr>
              <w:t>4、针对于多路数据时统技术，具备</w:t>
            </w:r>
            <w:r>
              <w:rPr>
                <w:rFonts w:hint="default" w:ascii="宋体" w:hAnsi="宋体" w:eastAsia="宋体" w:cs="Times New Roman"/>
                <w:szCs w:val="21"/>
                <w:lang w:val="en-US" w:eastAsia="zh-CN"/>
              </w:rPr>
              <w:t>通用性强，可以作为时统服务器使用，也可以作为时统客户端使用</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时钟的精度很高，对时时钟在毫秒级，因此时钟信息有很高的可信度，时间对时不会出现大的差异变化，保证了功能实现同时，有很强的鲁棒性，系统结实耐用，可以长时间的运行</w:t>
            </w:r>
            <w:r>
              <w:rPr>
                <w:rFonts w:hint="eastAsia" w:ascii="宋体" w:hAnsi="宋体" w:eastAsia="宋体"/>
                <w:szCs w:val="21"/>
              </w:rPr>
              <w:t>。</w:t>
            </w:r>
          </w:p>
          <w:p>
            <w:pPr>
              <w:snapToGrid w:val="0"/>
              <w:spacing w:line="360" w:lineRule="auto"/>
              <w:jc w:val="left"/>
              <w:rPr>
                <w:rFonts w:hint="eastAsia" w:ascii="宋体" w:hAnsi="宋体" w:eastAsia="宋体"/>
                <w:b/>
                <w:bCs/>
                <w:szCs w:val="21"/>
              </w:rPr>
            </w:pPr>
            <w:r>
              <w:rPr>
                <w:rFonts w:hint="eastAsia" w:ascii="宋体" w:hAnsi="宋体" w:eastAsia="宋体"/>
                <w:b/>
                <w:bCs/>
                <w:szCs w:val="21"/>
                <w:lang w:val="en-US" w:eastAsia="zh-CN"/>
              </w:rPr>
              <w:t>四</w:t>
            </w:r>
            <w:r>
              <w:rPr>
                <w:rFonts w:hint="eastAsia" w:ascii="宋体" w:hAnsi="宋体" w:eastAsia="宋体"/>
                <w:b/>
                <w:bCs/>
                <w:szCs w:val="21"/>
              </w:rPr>
              <w:t>、技术成熟性及可靠性论述</w:t>
            </w:r>
          </w:p>
          <w:p>
            <w:pPr>
              <w:snapToGrid w:val="0"/>
              <w:spacing w:line="360" w:lineRule="auto"/>
              <w:ind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我公司核心团队成员均从事于数据采集、数据识别和数据采集的研究与开发工作，拥有丰富的技术积累和工程经验；并在人工智能、数据挖掘等领域发表了多篇相关高水平论文和软件著作，授权了多项实用新型和发明专利。</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公司同研究单位、高校、部队都有很好的合作关系，参与了军方多个产品的研发项目，公司与该项目相关的主要合同有如下几项：</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（1）与军方某研究所签署的音频数据采集并分析科研合同；</w:t>
            </w:r>
          </w:p>
          <w:p>
            <w:pPr>
              <w:snapToGrid w:val="0"/>
              <w:spacing w:line="360" w:lineRule="auto"/>
              <w:ind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（2）与陆军某试验基地签署的地面突击装备测试评估服务保障合同；</w:t>
            </w:r>
          </w:p>
          <w:p>
            <w:pPr>
              <w:rPr>
                <w:rFonts w:ascii="宋体" w:hAnsi="宋体" w:eastAsia="宋体" w:cs="宋体"/>
                <w:color w:val="000000"/>
                <w:sz w:val="24"/>
                <w:szCs w:val="24"/>
              </w:rPr>
            </w:pPr>
            <w:r>
              <w:rPr>
                <w:rFonts w:hint="eastAsia" w:ascii="宋体" w:hAnsi="宋体" w:eastAsia="宋体" w:cs="Times New Roman"/>
                <w:szCs w:val="21"/>
                <w:lang w:val="en-US" w:eastAsia="zh-CN"/>
              </w:rPr>
              <w:t>（3）与中国航空工业某研究所签订的飞行员驾驶头盔及人机操控系统研发合同。</w:t>
            </w:r>
          </w:p>
        </w:tc>
      </w:tr>
      <w:tr>
        <w:tblPrEx>
          <w:tblCellMar>
            <w:top w:w="0" w:type="dxa"/>
            <w:left w:w="108" w:type="dxa"/>
            <w:bottom w:w="0" w:type="dxa"/>
            <w:right w:w="108" w:type="dxa"/>
          </w:tblCellMar>
        </w:tblPrEx>
        <w:trPr>
          <w:trHeight w:val="2026"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主要管理团队</w:t>
            </w:r>
          </w:p>
        </w:tc>
        <w:tc>
          <w:tcPr>
            <w:tcW w:w="8455" w:type="dxa"/>
            <w:gridSpan w:val="6"/>
            <w:tcBorders>
              <w:top w:val="nil"/>
              <w:left w:val="nil"/>
              <w:bottom w:val="single" w:color="000000" w:sz="8" w:space="0"/>
              <w:right w:val="single" w:color="000000" w:sz="8" w:space="0"/>
            </w:tcBorders>
            <w:shd w:val="clear" w:color="auto" w:fill="auto"/>
          </w:tcPr>
          <w:p>
            <w:pPr>
              <w:widowControl/>
              <w:textAlignment w:val="top"/>
            </w:pPr>
            <w:r>
              <w:rPr>
                <w:rFonts w:hint="eastAsia"/>
              </w:rPr>
              <w:t xml:space="preserve">    </w:t>
            </w:r>
            <w:r>
              <w:drawing>
                <wp:inline distT="0" distB="0" distL="114300" distR="114300">
                  <wp:extent cx="5226685" cy="4236720"/>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26685" cy="4236720"/>
                          </a:xfrm>
                          <a:prstGeom prst="rect">
                            <a:avLst/>
                          </a:prstGeom>
                          <a:noFill/>
                          <a:ln>
                            <a:noFill/>
                          </a:ln>
                        </pic:spPr>
                      </pic:pic>
                    </a:graphicData>
                  </a:graphic>
                </wp:inline>
              </w:drawing>
            </w:r>
          </w:p>
          <w:p>
            <w:pPr>
              <w:pStyle w:val="2"/>
            </w:pPr>
            <w:r>
              <w:drawing>
                <wp:inline distT="0" distB="0" distL="114300" distR="114300">
                  <wp:extent cx="5227320" cy="3822065"/>
                  <wp:effectExtent l="0" t="0" r="50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27320" cy="3822065"/>
                          </a:xfrm>
                          <a:prstGeom prst="rect">
                            <a:avLst/>
                          </a:prstGeom>
                          <a:noFill/>
                          <a:ln>
                            <a:noFill/>
                          </a:ln>
                        </pic:spPr>
                      </pic:pic>
                    </a:graphicData>
                  </a:graphic>
                </wp:inline>
              </w:drawing>
            </w:r>
          </w:p>
          <w:p>
            <w:r>
              <w:drawing>
                <wp:inline distT="0" distB="0" distL="114300" distR="114300">
                  <wp:extent cx="5226685" cy="3789045"/>
                  <wp:effectExtent l="0" t="0" r="571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26685" cy="3789045"/>
                          </a:xfrm>
                          <a:prstGeom prst="rect">
                            <a:avLst/>
                          </a:prstGeom>
                          <a:noFill/>
                          <a:ln>
                            <a:noFill/>
                          </a:ln>
                        </pic:spPr>
                      </pic:pic>
                    </a:graphicData>
                  </a:graphic>
                </wp:inline>
              </w:drawing>
            </w:r>
          </w:p>
          <w:p>
            <w:pPr>
              <w:pStyle w:val="2"/>
            </w:pPr>
            <w:r>
              <w:drawing>
                <wp:inline distT="0" distB="0" distL="114300" distR="114300">
                  <wp:extent cx="0" cy="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0" cy="0"/>
                          </a:xfrm>
                          <a:prstGeom prst="rect">
                            <a:avLst/>
                          </a:prstGeom>
                          <a:noFill/>
                          <a:ln>
                            <a:noFill/>
                          </a:ln>
                        </pic:spPr>
                      </pic:pic>
                    </a:graphicData>
                  </a:graphic>
                </wp:inline>
              </w:drawing>
            </w:r>
            <w:r>
              <w:drawing>
                <wp:inline distT="0" distB="0" distL="114300" distR="114300">
                  <wp:extent cx="5227955" cy="6584315"/>
                  <wp:effectExtent l="0" t="0" r="444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27955" cy="6584315"/>
                          </a:xfrm>
                          <a:prstGeom prst="rect">
                            <a:avLst/>
                          </a:prstGeom>
                          <a:noFill/>
                          <a:ln>
                            <a:noFill/>
                          </a:ln>
                        </pic:spPr>
                      </pic:pic>
                    </a:graphicData>
                  </a:graphic>
                </wp:inline>
              </w:drawing>
            </w:r>
            <w:r>
              <w:drawing>
                <wp:inline distT="0" distB="0" distL="114300" distR="114300">
                  <wp:extent cx="0" cy="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0" cy="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039"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公司发展预测</w:t>
            </w:r>
          </w:p>
        </w:tc>
        <w:tc>
          <w:tcPr>
            <w:tcW w:w="8455" w:type="dxa"/>
            <w:gridSpan w:val="6"/>
            <w:tcBorders>
              <w:top w:val="nil"/>
              <w:left w:val="nil"/>
              <w:bottom w:val="nil"/>
              <w:right w:val="single" w:color="000000" w:sz="8" w:space="0"/>
            </w:tcBorders>
            <w:shd w:val="clear" w:color="auto" w:fill="auto"/>
          </w:tcPr>
          <w:p>
            <w:pPr>
              <w:snapToGrid w:val="0"/>
              <w:spacing w:line="360" w:lineRule="auto"/>
              <w:ind w:firstLine="480" w:firstLineChars="200"/>
              <w:jc w:val="left"/>
              <w:rPr>
                <w:rFonts w:hint="default" w:ascii="宋体" w:hAnsi="宋体" w:eastAsia="宋体" w:cs="Times New Roman"/>
                <w:szCs w:val="21"/>
                <w:lang w:val="en-US" w:eastAsia="zh-CN"/>
              </w:rPr>
            </w:pPr>
            <w:r>
              <w:rPr>
                <w:rFonts w:hint="eastAsia" w:ascii="宋体" w:hAnsi="宋体" w:eastAsia="宋体" w:cs="宋体"/>
                <w:color w:val="000000"/>
                <w:kern w:val="0"/>
                <w:sz w:val="24"/>
                <w:szCs w:val="24"/>
                <w:lang w:bidi="ar"/>
              </w:rPr>
              <w:t xml:space="preserve">   </w:t>
            </w:r>
            <w:r>
              <w:rPr>
                <w:rFonts w:hint="eastAsia" w:ascii="宋体" w:hAnsi="宋体" w:eastAsia="宋体" w:cs="Times New Roman"/>
                <w:szCs w:val="21"/>
                <w:lang w:val="en-US" w:eastAsia="zh-CN"/>
              </w:rPr>
              <w:t>当前对于特种装备新产品的研发和在役装备的状态监测通常是依靠专家通过自己的主观判断来提出研发建议或依靠有经验的工作人员来确定装备的状态进行故障诊断与维修，尚没有一种科学的通用评估指标体系来对特种装备的人机功效进行评测，也没有出现相关技术研究和商业产品，因此无论是对新产品上市前的设计优化，还是对现有产品的升级改造，均具有很大的市场空间和缺口。</w:t>
            </w:r>
          </w:p>
          <w:p>
            <w:pPr>
              <w:snapToGrid w:val="0"/>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我公司已有研发成功的图像数据识别软件和音频数据采集分析软件，功能完善且界面友好，具有高数据安全性和使用安全性，并可以根据不同特种装备的评测需求在软件的基础上进行二次开发。</w:t>
            </w:r>
          </w:p>
          <w:p>
            <w:pPr>
              <w:snapToGrid w:val="0"/>
              <w:spacing w:line="360" w:lineRule="auto"/>
              <w:ind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我公司研发的特种装备评测系统不仅可以对武器装备、轨道交通装备、光电设备、工程机械设备、航空航天装备以及应急安全装备等硬件装备进行评测，同事可以对指控系统、火控系统及驾驶员操作系统等软件装备进行评测。</w:t>
            </w:r>
          </w:p>
          <w:p>
            <w:pPr>
              <w:widowControl/>
              <w:textAlignment w:val="top"/>
              <w:rPr>
                <w:rFonts w:ascii="宋体" w:hAnsi="宋体" w:eastAsia="宋体" w:cs="宋体"/>
                <w:color w:val="000000"/>
                <w:sz w:val="24"/>
                <w:szCs w:val="24"/>
              </w:rPr>
            </w:pPr>
          </w:p>
        </w:tc>
      </w:tr>
      <w:tr>
        <w:tblPrEx>
          <w:tblCellMar>
            <w:top w:w="0" w:type="dxa"/>
            <w:left w:w="108" w:type="dxa"/>
            <w:bottom w:w="0" w:type="dxa"/>
            <w:right w:w="108" w:type="dxa"/>
          </w:tblCellMar>
        </w:tblPrEx>
        <w:trPr>
          <w:trHeight w:val="1000"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过往融资情况</w:t>
            </w:r>
          </w:p>
        </w:tc>
        <w:tc>
          <w:tcPr>
            <w:tcW w:w="8455" w:type="dxa"/>
            <w:gridSpan w:val="6"/>
            <w:tcBorders>
              <w:top w:val="single" w:color="000000" w:sz="8" w:space="0"/>
              <w:left w:val="nil"/>
              <w:bottom w:val="single" w:color="000000" w:sz="8" w:space="0"/>
              <w:right w:val="single" w:color="000000" w:sz="8" w:space="0"/>
            </w:tcBorders>
            <w:shd w:val="clear" w:color="auto" w:fill="auto"/>
          </w:tcPr>
          <w:p>
            <w:pPr>
              <w:widowControl/>
              <w:textAlignment w:val="top"/>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val="en-US" w:eastAsia="zh-CN" w:bidi="ar"/>
              </w:rPr>
              <w:t>总公司于2022年1月全额投资建立分公司。</w:t>
            </w:r>
          </w:p>
        </w:tc>
      </w:tr>
      <w:tr>
        <w:tblPrEx>
          <w:tblCellMar>
            <w:top w:w="0" w:type="dxa"/>
            <w:left w:w="108" w:type="dxa"/>
            <w:bottom w:w="0" w:type="dxa"/>
            <w:right w:w="108" w:type="dxa"/>
          </w:tblCellMar>
        </w:tblPrEx>
        <w:trPr>
          <w:trHeight w:val="4376" w:hRule="atLeast"/>
        </w:trPr>
        <w:tc>
          <w:tcPr>
            <w:tcW w:w="22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近两年财务状况</w:t>
            </w:r>
          </w:p>
        </w:tc>
        <w:tc>
          <w:tcPr>
            <w:tcW w:w="8455" w:type="dxa"/>
            <w:gridSpan w:val="6"/>
            <w:tcBorders>
              <w:top w:val="nil"/>
              <w:left w:val="nil"/>
              <w:bottom w:val="single" w:color="000000" w:sz="8" w:space="0"/>
              <w:right w:val="single" w:color="000000" w:sz="8" w:space="0"/>
            </w:tcBorders>
            <w:shd w:val="clear" w:color="auto" w:fill="auto"/>
          </w:tcPr>
          <w:p/>
          <w:p>
            <w:pPr>
              <w:pStyle w:val="2"/>
            </w:pPr>
            <w:r>
              <w:drawing>
                <wp:inline distT="0" distB="0" distL="114300" distR="114300">
                  <wp:extent cx="3263900" cy="1790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3263900" cy="1790700"/>
                          </a:xfrm>
                          <a:prstGeom prst="rect">
                            <a:avLst/>
                          </a:prstGeom>
                          <a:noFill/>
                          <a:ln>
                            <a:noFill/>
                          </a:ln>
                        </pic:spPr>
                      </pic:pic>
                    </a:graphicData>
                  </a:graphic>
                </wp:inline>
              </w:drawing>
            </w:r>
          </w:p>
          <w:p/>
          <w:p>
            <w:pPr>
              <w:pStyle w:val="2"/>
            </w:pPr>
          </w:p>
          <w:p/>
          <w:p>
            <w:pPr>
              <w:pStyle w:val="2"/>
            </w:pPr>
          </w:p>
        </w:tc>
      </w:tr>
      <w:tr>
        <w:tblPrEx>
          <w:tblCellMar>
            <w:top w:w="0" w:type="dxa"/>
            <w:left w:w="108" w:type="dxa"/>
            <w:bottom w:w="0" w:type="dxa"/>
            <w:right w:w="108" w:type="dxa"/>
          </w:tblCellMar>
        </w:tblPrEx>
        <w:trPr>
          <w:trHeight w:val="580" w:hRule="atLeast"/>
        </w:trPr>
        <w:tc>
          <w:tcPr>
            <w:tcW w:w="229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联系方式</w:t>
            </w:r>
          </w:p>
        </w:tc>
        <w:tc>
          <w:tcPr>
            <w:tcW w:w="287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联系人</w:t>
            </w:r>
          </w:p>
        </w:tc>
        <w:tc>
          <w:tcPr>
            <w:tcW w:w="2580"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武鸿涛</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职务</w:t>
            </w:r>
          </w:p>
        </w:tc>
        <w:tc>
          <w:tcPr>
            <w:tcW w:w="1918"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总经理</w:t>
            </w:r>
          </w:p>
        </w:tc>
      </w:tr>
      <w:tr>
        <w:tblPrEx>
          <w:tblCellMar>
            <w:top w:w="0" w:type="dxa"/>
            <w:left w:w="108" w:type="dxa"/>
            <w:bottom w:w="0" w:type="dxa"/>
            <w:right w:w="108" w:type="dxa"/>
          </w:tblCellMar>
        </w:tblPrEx>
        <w:trPr>
          <w:trHeight w:val="580" w:hRule="atLeast"/>
        </w:trPr>
        <w:tc>
          <w:tcPr>
            <w:tcW w:w="229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4"/>
                <w:szCs w:val="24"/>
              </w:rPr>
            </w:pPr>
          </w:p>
        </w:tc>
        <w:tc>
          <w:tcPr>
            <w:tcW w:w="2877"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E-mail</w:t>
            </w:r>
          </w:p>
        </w:tc>
        <w:tc>
          <w:tcPr>
            <w:tcW w:w="2580"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lang w:val="en-US" w:eastAsia="zh-CN"/>
              </w:rPr>
              <w:t>18002017771@163.com</w:t>
            </w:r>
            <w:r>
              <w:fldChar w:fldCharType="begin"/>
            </w:r>
            <w:r>
              <w:instrText xml:space="preserve"> HYPERLINK "mailto:miki@qiwu.ai" \o "mailto:miki@qiwu.ai" </w:instrText>
            </w:r>
            <w:r>
              <w:fldChar w:fldCharType="separate"/>
            </w:r>
            <w:r>
              <w:fldChar w:fldCharType="end"/>
            </w:r>
          </w:p>
        </w:tc>
        <w:tc>
          <w:tcPr>
            <w:tcW w:w="10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手机</w:t>
            </w:r>
          </w:p>
        </w:tc>
        <w:tc>
          <w:tcPr>
            <w:tcW w:w="191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18002017771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TZhMzcyYWEwYTkwYmYxMWZiMmE0YjJlMzI5MTMifQ=="/>
  </w:docVars>
  <w:rsids>
    <w:rsidRoot w:val="00000000"/>
    <w:rsid w:val="0FA41A22"/>
    <w:rsid w:val="29134DAF"/>
    <w:rsid w:val="4B0C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cs="Times New Roman"/>
      <w:b/>
      <w:bCs/>
      <w:kern w:val="44"/>
      <w:sz w:val="44"/>
      <w:szCs w:val="44"/>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55"/>
    </w:pPr>
    <w:rPr>
      <w:rFonts w:ascii="仿宋_GB2312" w:eastAsia="仿宋_GB2312"/>
      <w:sz w:val="32"/>
    </w:rPr>
  </w:style>
  <w:style w:type="paragraph" w:styleId="4">
    <w:name w:val="Body Text First Indent 2"/>
    <w:basedOn w:val="3"/>
    <w:qFormat/>
    <w:uiPriority w:val="99"/>
    <w:pPr>
      <w:spacing w:after="120"/>
      <w:ind w:left="420" w:leftChars="200" w:firstLine="420" w:firstLineChars="200"/>
    </w:pPr>
    <w:rPr>
      <w:rFonts w:eastAsia="宋体"/>
      <w:sz w:val="21"/>
    </w:rPr>
  </w:style>
  <w:style w:type="character" w:customStyle="1" w:styleId="7">
    <w:name w:val="font01"/>
    <w:basedOn w:val="6"/>
    <w:qFormat/>
    <w:uiPriority w:val="0"/>
    <w:rPr>
      <w:rFonts w:hint="eastAsia" w:ascii="宋体" w:hAnsi="宋体" w:eastAsia="宋体" w:cs="宋体"/>
      <w:color w:val="000000"/>
      <w:sz w:val="24"/>
      <w:szCs w:val="24"/>
      <w:u w:val="none"/>
    </w:rPr>
  </w:style>
  <w:style w:type="character" w:customStyle="1" w:styleId="8">
    <w:name w:val="font61"/>
    <w:basedOn w:val="6"/>
    <w:qFormat/>
    <w:uiPriority w:val="0"/>
    <w:rPr>
      <w:rFonts w:hint="default" w:ascii="Wingdings" w:hAnsi="Wingdings" w:cs="Wingdings"/>
      <w:color w:val="000000"/>
      <w:sz w:val="24"/>
      <w:szCs w:val="24"/>
      <w:u w:val="none"/>
    </w:rPr>
  </w:style>
  <w:style w:type="character" w:customStyle="1" w:styleId="9">
    <w:name w:val="font71"/>
    <w:basedOn w:val="6"/>
    <w:qFormat/>
    <w:uiPriority w:val="0"/>
    <w:rPr>
      <w:rFonts w:ascii="Wingdings 2" w:hAnsi="Wingdings 2" w:eastAsia="Wingdings 2" w:cs="Wingdings 2"/>
      <w:b/>
      <w:bCs/>
      <w:color w:val="000000"/>
      <w:sz w:val="24"/>
      <w:szCs w:val="24"/>
      <w:u w:val="none"/>
    </w:rPr>
  </w:style>
  <w:style w:type="character" w:customStyle="1" w:styleId="10">
    <w:name w:val="font11"/>
    <w:basedOn w:val="6"/>
    <w:qFormat/>
    <w:uiPriority w:val="0"/>
    <w:rPr>
      <w:rFonts w:hint="default" w:ascii="Wingdings 2" w:hAnsi="Wingdings 2" w:eastAsia="Wingdings 2" w:cs="Wingdings 2"/>
      <w:color w:val="000000"/>
      <w:sz w:val="24"/>
      <w:szCs w:val="24"/>
      <w:u w:val="none"/>
    </w:rPr>
  </w:style>
  <w:style w:type="character" w:customStyle="1" w:styleId="11">
    <w:name w:val="font81"/>
    <w:basedOn w:val="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3540</Words>
  <Characters>3621</Characters>
  <Lines>0</Lines>
  <Paragraphs>0</Paragraphs>
  <TotalTime>0</TotalTime>
  <ScaleCrop>false</ScaleCrop>
  <LinksUpToDate>false</LinksUpToDate>
  <CharactersWithSpaces>3753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2022-11-24T02:57:00Z</dcterms:created>
  <dc:creator>86133</dc:creator>
  <cp:lastModifiedBy>2oo9</cp:lastModifiedBy>
  <dcterms:modified xsi:type="dcterms:W3CDTF">2022-11-25T01:39:31Z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1EA265A85856472091ACA4932CC87CE1</vt:lpwstr>
  </property>
</Properties>
</file>