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b/>
          <w:bCs w:val="0"/>
          <w:sz w:val="96"/>
          <w:szCs w:val="44"/>
          <w:lang w:val="en-US" w:eastAsia="zh-CN"/>
        </w:rPr>
      </w:pPr>
      <w:r>
        <w:rPr>
          <w:rFonts w:hint="eastAsia"/>
          <w:b/>
          <w:bCs w:val="0"/>
          <w:sz w:val="96"/>
          <w:szCs w:val="44"/>
          <w:lang w:val="en-US" w:eastAsia="zh-CN"/>
        </w:rPr>
        <w:t xml:space="preserve">           PGXB</w:t>
      </w: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b/>
          <w:bCs w:val="0"/>
          <w:sz w:val="44"/>
          <w:szCs w:val="24"/>
          <w:lang w:val="en-US" w:eastAsia="zh-CN"/>
        </w:rPr>
      </w:pPr>
      <w:r>
        <w:rPr>
          <w:rFonts w:hint="eastAsia"/>
          <w:b/>
          <w:bCs w:val="0"/>
          <w:sz w:val="44"/>
          <w:szCs w:val="24"/>
          <w:lang w:val="en-US" w:eastAsia="zh-CN"/>
        </w:rPr>
        <w:t>濮阳市化工产业技术研究会标准</w:t>
      </w:r>
    </w:p>
    <w:p>
      <w:pPr>
        <w:pageBreakBefore w:val="0"/>
        <w:widowControl w:val="0"/>
        <w:kinsoku/>
        <w:wordWrap/>
        <w:overflowPunct/>
        <w:topLinePunct w:val="0"/>
        <w:autoSpaceDE/>
        <w:autoSpaceDN/>
        <w:bidi w:val="0"/>
        <w:adjustRightInd/>
        <w:snapToGrid/>
        <w:textAlignment w:val="auto"/>
        <w:rPr>
          <w:rFonts w:hint="eastAsia"/>
          <w:b/>
          <w:bCs w:val="0"/>
          <w:sz w:val="2"/>
          <w:szCs w:val="2"/>
          <w:lang w:val="en-US" w:eastAsia="zh-CN"/>
        </w:rPr>
      </w:pPr>
      <w:r>
        <w:rPr>
          <w:rFonts w:hint="eastAsia"/>
          <w:b/>
          <w:bCs w:val="0"/>
          <w:sz w:val="24"/>
          <w:szCs w:val="16"/>
          <w:lang w:val="en-US" w:eastAsia="zh-CN"/>
        </w:rPr>
        <w:t xml:space="preserve">                                            </w:t>
      </w:r>
      <w:r>
        <w:rPr>
          <w:rFonts w:hint="eastAsia"/>
          <w:b/>
          <w:bCs w:val="0"/>
          <w:sz w:val="40"/>
          <w:szCs w:val="22"/>
          <w:lang w:val="en-US" w:eastAsia="zh-CN"/>
        </w:rPr>
        <w:t xml:space="preserve"> PGXB 0001-2022</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b/>
          <w:bCs w:val="0"/>
          <w:sz w:val="40"/>
          <w:szCs w:val="22"/>
          <w:u w:val="single"/>
          <w:lang w:val="en-US" w:eastAsia="zh-CN"/>
        </w:rPr>
      </w:pPr>
      <w:r>
        <w:rPr>
          <w:rFonts w:hint="eastAsia"/>
          <w:b/>
          <w:bCs w:val="0"/>
          <w:sz w:val="2"/>
          <w:szCs w:val="2"/>
          <w:u w:val="single"/>
          <w:lang w:val="en-US" w:eastAsia="zh-CN"/>
        </w:rPr>
        <w:t xml:space="preserve">                              </w:t>
      </w:r>
      <w:r>
        <w:rPr>
          <w:rFonts w:hint="eastAsia"/>
          <w:b/>
          <w:bCs w:val="0"/>
          <w:sz w:val="40"/>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b/>
          <w:bCs w:val="0"/>
          <w:sz w:val="40"/>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b/>
          <w:bCs w:val="0"/>
          <w:sz w:val="40"/>
          <w:szCs w:val="22"/>
          <w:u w:val="single"/>
          <w:lang w:val="en-US" w:eastAsia="zh-CN"/>
        </w:rPr>
      </w:pPr>
    </w:p>
    <w:p>
      <w:pPr>
        <w:pStyle w:val="2"/>
        <w:bidi w:val="0"/>
        <w:jc w:val="center"/>
        <w:rPr>
          <w:rFonts w:hint="eastAsia"/>
          <w:lang w:val="en-US" w:eastAsia="zh-CN"/>
        </w:rPr>
      </w:pPr>
      <w:r>
        <w:rPr>
          <w:rFonts w:hint="eastAsia"/>
          <w:b/>
          <w:bCs w:val="0"/>
          <w:sz w:val="36"/>
          <w:szCs w:val="21"/>
          <w:lang w:val="en-US" w:eastAsia="zh-CN"/>
        </w:rPr>
        <w:t>化工企业电仪设备点检智能管理系统技术规范Technical specification of the intelligent management system of electrical and instrumentation equipment point inspection in chemical enterprises</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b/>
          <w:bCs w:val="0"/>
          <w:sz w:val="40"/>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b/>
          <w:bCs w:val="0"/>
          <w:sz w:val="40"/>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b/>
          <w:bCs w:val="0"/>
          <w:sz w:val="40"/>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b/>
          <w:bCs w:val="0"/>
          <w:sz w:val="40"/>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b/>
          <w:bCs w:val="0"/>
          <w:sz w:val="40"/>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hint="default" w:asciiTheme="minorEastAsia" w:hAnsiTheme="minorEastAsia" w:cstheme="minorEastAsia"/>
          <w:b w:val="0"/>
          <w:bCs/>
          <w:sz w:val="24"/>
          <w:szCs w:val="24"/>
          <w:u w:val="single"/>
          <w:lang w:val="en-US" w:eastAsia="zh-CN"/>
        </w:rPr>
      </w:pPr>
      <w:r>
        <w:rPr>
          <w:rFonts w:hint="eastAsia" w:asciiTheme="minorEastAsia" w:hAnsiTheme="minorEastAsia" w:cstheme="minorEastAsia"/>
          <w:b w:val="0"/>
          <w:bCs/>
          <w:sz w:val="24"/>
          <w:szCs w:val="24"/>
          <w:u w:val="none"/>
          <w:lang w:val="en-US" w:eastAsia="zh-CN"/>
        </w:rPr>
        <w:t>2022-6-2发布                                 2022-10-1实施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cstheme="minorEastAsia"/>
          <w:b w:val="0"/>
          <w:bCs/>
          <w:sz w:val="13"/>
          <w:szCs w:val="4"/>
          <w:u w:val="single"/>
          <w:lang w:val="en-US" w:eastAsia="zh-CN"/>
        </w:rPr>
      </w:pPr>
      <w:r>
        <w:rPr>
          <w:rFonts w:hint="eastAsia" w:asciiTheme="minorEastAsia" w:hAnsiTheme="minorEastAsia" w:cstheme="minorEastAsia"/>
          <w:b w:val="0"/>
          <w:bCs/>
          <w:sz w:val="13"/>
          <w:szCs w:val="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cstheme="minorEastAsia"/>
          <w:b w:val="0"/>
          <w:bCs/>
          <w:sz w:val="13"/>
          <w:szCs w:val="4"/>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sz w:val="28"/>
          <w:szCs w:val="28"/>
          <w:u w:val="none"/>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b w:val="0"/>
          <w:bCs/>
          <w:sz w:val="28"/>
          <w:szCs w:val="28"/>
          <w:u w:val="none"/>
          <w:lang w:val="en-US" w:eastAsia="zh-CN"/>
        </w:rPr>
        <w:t>濮阳市化工产业技术研究会  发布</w:t>
      </w:r>
    </w:p>
    <w:p>
      <w:pPr>
        <w:pStyle w:val="2"/>
        <w:bidi w:val="0"/>
        <w:jc w:val="center"/>
        <w:rPr>
          <w:rFonts w:hint="eastAsia"/>
          <w:b/>
          <w:bCs w:val="0"/>
          <w:sz w:val="36"/>
          <w:szCs w:val="21"/>
          <w:lang w:val="en-US" w:eastAsia="zh-CN"/>
        </w:rPr>
      </w:pPr>
      <w:r>
        <w:rPr>
          <w:rFonts w:hint="eastAsia"/>
          <w:b/>
          <w:bCs w:val="0"/>
          <w:sz w:val="36"/>
          <w:szCs w:val="21"/>
          <w:lang w:val="en-US" w:eastAsia="zh-CN"/>
        </w:rPr>
        <w:t>化工企业电仪设备点检智能管理系统技术规范</w:t>
      </w:r>
    </w:p>
    <w:p>
      <w:pPr>
        <w:rPr>
          <w:rFonts w:hint="eastAsia" w:ascii="宋体" w:hAnsi="宋体" w:eastAsia="宋体" w:cs="宋体"/>
          <w:sz w:val="24"/>
          <w:szCs w:val="24"/>
          <w:lang w:val="en-US" w:eastAsia="zh-CN"/>
        </w:rPr>
      </w:pPr>
    </w:p>
    <w:p>
      <w:pPr>
        <w:pStyle w:val="3"/>
        <w:bidi w:val="0"/>
        <w:rPr>
          <w:rFonts w:hint="eastAsia" w:ascii="宋体" w:hAnsi="宋体" w:eastAsia="宋体" w:cs="宋体"/>
          <w:szCs w:val="24"/>
          <w:lang w:val="en-US" w:eastAsia="zh-CN"/>
        </w:rPr>
      </w:pPr>
      <w:r>
        <w:rPr>
          <w:rFonts w:hint="eastAsia"/>
          <w:lang w:val="en-US" w:eastAsia="zh-CN"/>
        </w:rPr>
        <w:t>1 范围</w:t>
      </w:r>
    </w:p>
    <w:p>
      <w:pPr>
        <w:ind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本规范规定了化工企业电仪设备点检智能管理系统技术规范，适用于系统的开发、设计、应用与维护。</w:t>
      </w:r>
    </w:p>
    <w:p>
      <w:pPr>
        <w:ind w:firstLine="42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本规范规定的内容是通用的，个别要素可进行适当调整，调整不能影响文件的有效性。</w:t>
      </w:r>
    </w:p>
    <w:p>
      <w:pPr>
        <w:ind w:firstLine="420" w:firstLineChars="0"/>
        <w:rPr>
          <w:rFonts w:hint="eastAsia" w:ascii="宋体" w:hAnsi="宋体" w:eastAsia="宋体" w:cs="宋体"/>
          <w:sz w:val="24"/>
          <w:szCs w:val="24"/>
          <w:lang w:val="en-US" w:eastAsia="zh-CN"/>
        </w:rPr>
      </w:pPr>
    </w:p>
    <w:p>
      <w:pPr>
        <w:pStyle w:val="3"/>
        <w:bidi w:val="0"/>
        <w:rPr>
          <w:rFonts w:hint="eastAsia"/>
          <w:lang w:val="en-US" w:eastAsia="zh-CN"/>
        </w:rPr>
      </w:pPr>
      <w:r>
        <w:rPr>
          <w:rFonts w:hint="eastAsia"/>
          <w:lang w:val="en-US" w:eastAsia="zh-CN"/>
        </w:rPr>
        <w:t>2 规范性引用文件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化工企业电仪设备点检智能管理系统</w:t>
      </w:r>
      <w:r>
        <w:rPr>
          <w:rFonts w:hint="eastAsia" w:ascii="宋体" w:hAnsi="宋体" w:eastAsia="宋体" w:cs="宋体"/>
          <w:sz w:val="24"/>
          <w:szCs w:val="24"/>
        </w:rPr>
        <w:t>的开发和设计应符合国家颁布的最新标准和和规范要求。本系统建设所涉及的的技术标准、规范、验收标准和规范等内容应当符合以下下现行现行标准。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《信息技术软件工程术语》（GB/T 11457-2006）</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《计算机软件文档编制规范》（GB/T 8567-2006）</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《计算机软件需求规格规格说明规范》（GB/T 9385-2008）</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《计算机软件测试文档编制规范》（GB/T 9386-2008）</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《计算机软件可靠性和可维护性管理》（GB/T 9386-2008）</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《计算机软件测试规范》（GB/T 15532-2008）</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《信息安全技术术语》（GB/T 25069-2010）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《计算机开放与系统互联国家标准》（GB/T 16264.7-2008）</w:t>
      </w:r>
    </w:p>
    <w:p>
      <w:pPr>
        <w:rPr>
          <w:rFonts w:hint="eastAsia" w:ascii="宋体" w:hAnsi="宋体" w:eastAsia="宋体" w:cs="宋体"/>
          <w:sz w:val="24"/>
          <w:szCs w:val="24"/>
          <w:lang w:val="en-US" w:eastAsia="zh-CN"/>
        </w:rPr>
      </w:pPr>
    </w:p>
    <w:p>
      <w:pPr>
        <w:pStyle w:val="3"/>
        <w:bidi w:val="0"/>
        <w:rPr>
          <w:rFonts w:hint="eastAsia"/>
          <w:lang w:val="en-US" w:eastAsia="zh-CN"/>
        </w:rPr>
      </w:pPr>
      <w:r>
        <w:rPr>
          <w:rFonts w:hint="eastAsia"/>
          <w:lang w:val="en-US" w:eastAsia="zh-CN"/>
        </w:rPr>
        <w:t>3 术语和定义</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 可视化（Visualization）</w:t>
      </w:r>
    </w:p>
    <w:p>
      <w:pPr>
        <w:ind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是利用计算机图形学和图像处理技术，将数据转换成图形或图像在屏幕上显示出来，再进行交互处理的理论、方法和技术。</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 PLC（Programmable Logic Controller）</w:t>
      </w:r>
    </w:p>
    <w:p>
      <w:pPr>
        <w:ind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可编程逻辑控制器。</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3.3 OPC（OLE for Process Control）</w:t>
      </w:r>
    </w:p>
    <w:p>
      <w:pPr>
        <w:ind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是一个工业标准，OPC包括一整套接口、属性和方法的标准集，用于过程控制和制造业自动化系统。</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 Modbus</w:t>
      </w:r>
    </w:p>
    <w:p>
      <w:pPr>
        <w:ind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由Modicon发明，是全球第一个真正用于工业现场的总线协议。</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 RTU（Remote Terminal Unit）</w:t>
      </w:r>
    </w:p>
    <w:p>
      <w:pPr>
        <w:ind w:firstLine="42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远程终端单元，负责对现场信号，工业设备的检测和控制。</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 热备冗余</w:t>
      </w:r>
    </w:p>
    <w:p>
      <w:pPr>
        <w:ind w:firstLine="420" w:firstLineChars="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指重复配置系统的一些部件,当系统发生故障时,冗余配置的部件介入并承担故障部件的工作,由此减少系统的故障时间</w:t>
      </w:r>
      <w:r>
        <w:rPr>
          <w:rFonts w:hint="eastAsia" w:ascii="宋体" w:hAnsi="宋体" w:eastAsia="宋体" w:cs="宋体"/>
          <w:sz w:val="24"/>
          <w:szCs w:val="24"/>
          <w:lang w:val="en-US" w:eastAsia="zh-CN"/>
        </w:rPr>
        <w:t>。</w:t>
      </w:r>
    </w:p>
    <w:p>
      <w:pPr>
        <w:pStyle w:val="3"/>
        <w:bidi w:val="0"/>
        <w:rPr>
          <w:rFonts w:hint="eastAsia" w:ascii="宋体" w:hAnsi="宋体" w:eastAsia="宋体" w:cs="宋体"/>
          <w:szCs w:val="24"/>
          <w:lang w:val="en-US" w:eastAsia="zh-CN"/>
        </w:rPr>
      </w:pPr>
      <w:r>
        <w:rPr>
          <w:rFonts w:hint="eastAsia"/>
          <w:lang w:val="en-US" w:eastAsia="zh-CN"/>
        </w:rPr>
        <w:t>4 概述</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 系统构成</w:t>
      </w:r>
    </w:p>
    <w:p>
      <w:pPr>
        <w:ind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仪设备点检智能管理系统设备是设置在电仪单位的信息节点。电仪单位的相关数据通过有线或无线网络传输到电仪设备点检智能管理系统。手机APP采集到的数据进行汇总，验证、筛选、整理打包后，采用HTTPS将数据上传至电仪设备点检智能管理系统。手机APP应实现数据接入、安全隔离、数据处理存储及上传、运维管理等功能。设备应必须支持SQL、PLC、OPC、RTU、Modbus协议。</w:t>
      </w:r>
    </w:p>
    <w:p>
      <w:pPr>
        <w:ind w:firstLine="420" w:firstLineChars="0"/>
        <w:rPr>
          <w:rFonts w:hint="eastAsia" w:ascii="宋体" w:hAnsi="宋体" w:eastAsia="宋体" w:cs="宋体"/>
          <w:sz w:val="24"/>
          <w:szCs w:val="24"/>
          <w:lang w:val="en-US" w:eastAsia="zh-CN"/>
        </w:rPr>
      </w:pP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4.2 工作原理</w:t>
      </w:r>
    </w:p>
    <w:p>
      <w:pPr>
        <w:ind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手机APP作为工作人员操作平台，网页登录作为管理员操作平台。工作人员通过手机APP扫描设备二维码，执行上级发布任务。管理员后台操作二维码，模板等业务信息，人员设备信息及任务发布管理等功能。系统处理进程生成日志记录，实现总体监督，加强信息安全和后续审查。</w:t>
      </w:r>
    </w:p>
    <w:p>
      <w:pPr>
        <w:ind w:firstLine="420" w:firstLineChars="0"/>
        <w:rPr>
          <w:rFonts w:hint="eastAsia"/>
          <w:lang w:val="en-US" w:eastAsia="zh-CN"/>
        </w:rPr>
      </w:pPr>
      <w:r>
        <w:rPr>
          <w:rFonts w:hint="eastAsia" w:ascii="宋体" w:hAnsi="宋体" w:eastAsia="宋体" w:cs="宋体"/>
          <w:sz w:val="24"/>
          <w:szCs w:val="24"/>
          <w:lang w:val="en-US" w:eastAsia="zh-CN"/>
        </w:rPr>
        <w:t>手机APP子系统（任务执行平台），后台管理子系统（后台）。两个子系统通过任务的管理与发布进行逻辑关联，实现设备基础信息，实时状态信息，人员信息的交互与数据流动。具体流程如附件A。</w:t>
      </w:r>
    </w:p>
    <w:p>
      <w:pPr>
        <w:pStyle w:val="3"/>
        <w:bidi w:val="0"/>
        <w:rPr>
          <w:rFonts w:hint="eastAsia"/>
          <w:lang w:val="en-US" w:eastAsia="zh-CN"/>
        </w:rPr>
      </w:pPr>
      <w:r>
        <w:rPr>
          <w:rFonts w:hint="eastAsia"/>
          <w:lang w:val="en-US" w:eastAsia="zh-CN"/>
        </w:rPr>
        <w:t>5 通用技术要求</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 后台管理系统</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5.1.1通过局域网或广域网与SQL Server、MySQL或主流的数据库相连。</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5.1.2 提供网络型人机界面——Web可视化平台，该平台具有固定的URL。</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5.1.3 可安装在同一台服务器上，也可以安装在两台服务器上，若安装在两台服务器上，可通过软件配置构建热备冗余。</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 数据存储</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5.2.1 采用SQL Server数据库或MySQL数据库等主流数据库进行历史数据存储。</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5.2.2 可安装在后台管理的服务器上，也可以安装在一个或多个独立的服务器上，通过局域网或广域网与后台管理相连接。</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5.2.3 若安装在多个服务器上，通过后台管理系统配置实现多机历史数据备份。</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 Web可视化管理平台</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5.3.1 基于浏览器实现为后台管理系统的前台页面，支持网页监控与操作。</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5.3.2 不同用户具有不同权限，如点检人员、班组长、管理人员等权限。</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5.3.3 在浏览器输入平台的URL，登录后即可进入Web可视化管理平台，进行监控与操作。</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5.4手机点检APP</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5.4.1 与台管理系统使用统一数据库，在执行工作时的数据，在后台管理系统中同步。</w:t>
      </w:r>
    </w:p>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5.4.2 基于Android系统，可调用摄像头扫描设备二维码，通过HTTPS</w:t>
      </w:r>
      <w:r>
        <w:rPr>
          <w:rFonts w:ascii="宋体" w:hAnsi="宋体" w:eastAsia="宋体" w:cs="宋体"/>
          <w:sz w:val="24"/>
          <w:szCs w:val="24"/>
        </w:rPr>
        <w:t>加密后，将数据上传到</w:t>
      </w:r>
      <w:r>
        <w:rPr>
          <w:rFonts w:hint="eastAsia" w:ascii="宋体" w:hAnsi="宋体" w:eastAsia="宋体" w:cs="宋体"/>
          <w:sz w:val="24"/>
          <w:szCs w:val="24"/>
          <w:lang w:val="en-US" w:eastAsia="zh-CN"/>
        </w:rPr>
        <w:t>后台管理</w:t>
      </w:r>
      <w:r>
        <w:rPr>
          <w:rFonts w:ascii="宋体" w:hAnsi="宋体" w:eastAsia="宋体" w:cs="宋体"/>
          <w:sz w:val="24"/>
          <w:szCs w:val="24"/>
        </w:rPr>
        <w:t>系统平台</w:t>
      </w:r>
      <w:r>
        <w:rPr>
          <w:rFonts w:hint="eastAsia" w:ascii="宋体" w:hAnsi="宋体" w:eastAsia="宋体" w:cs="宋体"/>
          <w:sz w:val="24"/>
          <w:szCs w:val="24"/>
          <w:lang w:eastAsia="zh-CN"/>
        </w:rPr>
        <w:t>。</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5.4.3 点检APP应支持数据合理性检查，对超出合理范围的数据应给出报警或提示。</w:t>
      </w:r>
    </w:p>
    <w:p>
      <w:pPr>
        <w:rPr>
          <w:rFonts w:hint="default" w:ascii="宋体" w:hAnsi="宋体" w:eastAsia="宋体" w:cs="宋体"/>
          <w:sz w:val="24"/>
          <w:szCs w:val="24"/>
          <w:lang w:val="en-US" w:eastAsia="zh-CN"/>
        </w:rPr>
      </w:pPr>
    </w:p>
    <w:p>
      <w:pPr>
        <w:pStyle w:val="3"/>
        <w:bidi w:val="0"/>
        <w:rPr>
          <w:rFonts w:hint="eastAsia"/>
          <w:lang w:val="en-US" w:eastAsia="zh-CN"/>
        </w:rPr>
      </w:pPr>
      <w:r>
        <w:rPr>
          <w:rFonts w:hint="eastAsia"/>
          <w:lang w:val="en-US" w:eastAsia="zh-CN"/>
        </w:rPr>
        <w:t>6 附录A</w:t>
      </w:r>
    </w:p>
    <w:p>
      <w:pPr>
        <w:ind w:firstLine="420" w:firstLineChars="0"/>
      </w:pPr>
      <w:r>
        <w:drawing>
          <wp:inline distT="0" distB="0" distL="114300" distR="114300">
            <wp:extent cx="5168265" cy="3620770"/>
            <wp:effectExtent l="0" t="0" r="1333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168265" cy="3620770"/>
                    </a:xfrm>
                    <a:prstGeom prst="rect">
                      <a:avLst/>
                    </a:prstGeom>
                    <a:noFill/>
                    <a:ln>
                      <a:noFill/>
                    </a:ln>
                  </pic:spPr>
                </pic:pic>
              </a:graphicData>
            </a:graphic>
          </wp:inline>
        </w:drawing>
      </w:r>
    </w:p>
    <w:p>
      <w:pPr>
        <w:pStyle w:val="4"/>
        <w:ind w:firstLine="420" w:firstLineChars="0"/>
        <w:jc w:val="center"/>
        <w:rPr>
          <w:rFonts w:hint="eastAsia"/>
          <w:lang w:eastAsia="zh-CN"/>
        </w:rPr>
      </w:pPr>
      <w:r>
        <w:t xml:space="preserve">图 </w:t>
      </w:r>
      <w:r>
        <w:fldChar w:fldCharType="begin"/>
      </w:r>
      <w:r>
        <w:instrText xml:space="preserve"> SEQ 图 \* ARABIC </w:instrText>
      </w:r>
      <w:r>
        <w:fldChar w:fldCharType="separate"/>
      </w:r>
      <w:r>
        <w:t>1</w:t>
      </w:r>
      <w:r>
        <w:fldChar w:fldCharType="end"/>
      </w:r>
      <w:r>
        <w:rPr>
          <w:rFonts w:hint="eastAsia"/>
          <w:lang w:eastAsia="zh-CN"/>
        </w:rPr>
        <w:t>工作原理具体流程</w:t>
      </w:r>
    </w:p>
    <w:p>
      <w:pPr>
        <w:rPr>
          <w:rFonts w:hint="eastAsia"/>
          <w:sz w:val="24"/>
          <w:szCs w:val="32"/>
          <w:lang w:val="en-US" w:eastAsia="zh-CN"/>
        </w:rPr>
      </w:pPr>
    </w:p>
    <w:p>
      <w:pPr>
        <w:rPr>
          <w:rFonts w:hint="eastAsia"/>
          <w:sz w:val="24"/>
          <w:szCs w:val="32"/>
          <w:lang w:val="en-US" w:eastAsia="zh-CN"/>
        </w:rPr>
      </w:pPr>
    </w:p>
    <w:p>
      <w:pPr>
        <w:rPr>
          <w:rFonts w:hint="eastAsia"/>
          <w:sz w:val="24"/>
          <w:szCs w:val="32"/>
          <w:lang w:val="en-US" w:eastAsia="zh-CN"/>
        </w:rPr>
      </w:pPr>
    </w:p>
    <w:p>
      <w:pPr>
        <w:rPr>
          <w:rFonts w:hint="eastAsia"/>
          <w:sz w:val="24"/>
          <w:szCs w:val="32"/>
          <w:lang w:val="en-US" w:eastAsia="zh-CN"/>
        </w:rPr>
      </w:pPr>
    </w:p>
    <w:p>
      <w:pPr>
        <w:rPr>
          <w:rFonts w:hint="eastAsia"/>
          <w:sz w:val="24"/>
          <w:szCs w:val="32"/>
          <w:lang w:val="en-US" w:eastAsia="zh-CN"/>
        </w:rPr>
      </w:pPr>
    </w:p>
    <w:p>
      <w:pPr>
        <w:rPr>
          <w:rFonts w:hint="eastAsia"/>
          <w:sz w:val="24"/>
          <w:szCs w:val="32"/>
          <w:lang w:val="en-US" w:eastAsia="zh-CN"/>
        </w:rPr>
      </w:pPr>
    </w:p>
    <w:p>
      <w:pPr>
        <w:rPr>
          <w:rFonts w:hint="eastAsia"/>
          <w:sz w:val="24"/>
          <w:szCs w:val="32"/>
          <w:lang w:val="en-US" w:eastAsia="zh-CN"/>
        </w:rPr>
      </w:pPr>
    </w:p>
    <w:p>
      <w:pPr>
        <w:rPr>
          <w:rFonts w:hint="eastAsia"/>
          <w:sz w:val="24"/>
          <w:szCs w:val="32"/>
          <w:u w:val="single"/>
          <w:lang w:val="en-US" w:eastAsia="zh-CN"/>
        </w:rPr>
      </w:pPr>
      <w:r>
        <w:rPr>
          <w:rFonts w:hint="eastAsia"/>
          <w:sz w:val="24"/>
          <w:szCs w:val="32"/>
          <w:u w:val="single"/>
          <w:lang w:val="en-US" w:eastAsia="zh-CN"/>
        </w:rPr>
        <w:t xml:space="preserve">                                                                     </w:t>
      </w: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rPr>
          <w:rFonts w:hint="default"/>
          <w:sz w:val="24"/>
          <w:szCs w:val="32"/>
          <w:u w:val="singl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szCs w:val="32"/>
          <w:u w:val="none"/>
          <w:lang w:val="en-US" w:eastAsia="zh-CN"/>
        </w:rPr>
      </w:pPr>
      <w:r>
        <w:rPr>
          <w:rFonts w:hint="eastAsia"/>
          <w:sz w:val="24"/>
          <w:szCs w:val="32"/>
          <w:u w:val="none"/>
          <w:lang w:val="en-US" w:eastAsia="zh-CN"/>
        </w:rPr>
        <w:t>濮阳市化工产业技术研究会技术标准</w:t>
      </w:r>
    </w:p>
    <w:p>
      <w:pPr>
        <w:keepNext w:val="0"/>
        <w:keepLines w:val="0"/>
        <w:pageBreakBefore w:val="0"/>
        <w:widowControl w:val="0"/>
        <w:kinsoku/>
        <w:wordWrap/>
        <w:overflowPunct/>
        <w:topLinePunct w:val="0"/>
        <w:autoSpaceDE/>
        <w:autoSpaceDN/>
        <w:bidi w:val="0"/>
        <w:adjustRightInd/>
        <w:snapToGrid/>
        <w:jc w:val="both"/>
        <w:textAlignment w:val="auto"/>
        <w:rPr>
          <w:rFonts w:hint="default"/>
          <w:sz w:val="24"/>
          <w:szCs w:val="32"/>
          <w:u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4"/>
          <w:szCs w:val="32"/>
          <w:u w:val="none"/>
          <w:lang w:val="en-US" w:eastAsia="zh-CN"/>
        </w:rPr>
      </w:pPr>
      <w:r>
        <w:rPr>
          <w:rFonts w:hint="eastAsia"/>
          <w:b/>
          <w:bCs/>
          <w:sz w:val="24"/>
          <w:szCs w:val="32"/>
          <w:u w:val="none"/>
          <w:lang w:val="en-US" w:eastAsia="zh-CN"/>
        </w:rPr>
        <w:t>化工企业电仪设备点检智能管理系统技术规范</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4"/>
          <w:szCs w:val="32"/>
          <w:u w:val="none"/>
          <w:lang w:val="en-US" w:eastAsia="zh-CN"/>
        </w:rPr>
      </w:pPr>
      <w:r>
        <w:rPr>
          <w:rFonts w:hint="eastAsia"/>
          <w:b/>
          <w:bCs/>
          <w:sz w:val="24"/>
          <w:szCs w:val="32"/>
          <w:u w:val="none"/>
          <w:lang w:val="en-US" w:eastAsia="zh-CN"/>
        </w:rPr>
        <w:t>PGXB0001-2021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4"/>
          <w:szCs w:val="32"/>
          <w:u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val="0"/>
          <w:bCs w:val="0"/>
          <w:sz w:val="24"/>
          <w:szCs w:val="32"/>
          <w:u w:val="none"/>
          <w:lang w:val="en-US" w:eastAsia="zh-CN"/>
        </w:rPr>
      </w:pPr>
      <w:r>
        <w:rPr>
          <w:rFonts w:hint="eastAsia"/>
          <w:b w:val="0"/>
          <w:bCs w:val="0"/>
          <w:sz w:val="24"/>
          <w:szCs w:val="32"/>
          <w:u w:val="none"/>
          <w:lang w:val="en-US" w:eastAsia="zh-CN"/>
        </w:rPr>
        <w:t>濮阳市化工产业技术研究会发布</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val="0"/>
          <w:bCs w:val="0"/>
          <w:sz w:val="24"/>
          <w:szCs w:val="32"/>
          <w:u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val="0"/>
          <w:bCs w:val="0"/>
          <w:sz w:val="24"/>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sz w:val="21"/>
          <w:szCs w:val="21"/>
          <w:u w:val="none"/>
          <w:lang w:val="en-US" w:eastAsia="zh-CN"/>
        </w:rPr>
      </w:pPr>
      <w:r>
        <w:rPr>
          <w:rFonts w:hint="eastAsia"/>
          <w:b w:val="0"/>
          <w:bCs w:val="0"/>
          <w:sz w:val="21"/>
          <w:szCs w:val="21"/>
          <w:u w:val="none"/>
          <w:lang w:val="en-US" w:eastAsia="zh-CN"/>
        </w:rPr>
        <w:t>河南省濮阳市中原路西段国家级科技企业孵化器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val="0"/>
          <w:sz w:val="21"/>
          <w:szCs w:val="21"/>
          <w:u w:val="none"/>
          <w:lang w:val="en-US" w:eastAsia="zh-CN"/>
        </w:rPr>
      </w:pPr>
      <w:r>
        <w:rPr>
          <w:rFonts w:hint="eastAsia"/>
          <w:b w:val="0"/>
          <w:bCs w:val="0"/>
          <w:sz w:val="21"/>
          <w:szCs w:val="21"/>
          <w:u w:val="none"/>
          <w:lang w:val="en-US" w:eastAsia="zh-CN"/>
        </w:rPr>
        <w:t xml:space="preserve">电话 </w:t>
      </w:r>
      <w:r>
        <w:rPr>
          <w:rFonts w:hint="eastAsia" w:asciiTheme="minorEastAsia" w:hAnsiTheme="minorEastAsia" w:cstheme="minorEastAsia"/>
          <w:b w:val="0"/>
          <w:bCs w:val="0"/>
          <w:sz w:val="21"/>
          <w:szCs w:val="21"/>
          <w:u w:val="none"/>
          <w:lang w:val="en-US" w:eastAsia="zh-CN"/>
        </w:rPr>
        <w:t>(0393)6178638  6125393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_GB2312" w:hAnsi="宋体" w:eastAsia="楷体_GB2312"/>
          <w:sz w:val="24"/>
          <w:szCs w:val="28"/>
          <w:highlight w:val="none"/>
          <w:lang w:val="en-US" w:eastAsia="zh-CN"/>
        </w:rPr>
      </w:pPr>
      <w:r>
        <w:rPr>
          <w:rFonts w:hint="eastAsia" w:ascii="楷体_GB2312" w:hAnsi="宋体" w:eastAsia="楷体_GB2312"/>
          <w:sz w:val="24"/>
          <w:szCs w:val="28"/>
          <w:highlight w:val="none"/>
          <w:lang w:val="en-US" w:eastAsia="zh-CN"/>
        </w:rPr>
        <w:fldChar w:fldCharType="begin"/>
      </w:r>
      <w:r>
        <w:rPr>
          <w:rFonts w:hint="eastAsia" w:ascii="楷体_GB2312" w:hAnsi="宋体" w:eastAsia="楷体_GB2312"/>
          <w:sz w:val="24"/>
          <w:szCs w:val="28"/>
          <w:highlight w:val="none"/>
          <w:lang w:val="en-US" w:eastAsia="zh-CN"/>
        </w:rPr>
        <w:instrText xml:space="preserve"> HYPERLINK "http://www.pcida.org.cn" </w:instrText>
      </w:r>
      <w:r>
        <w:rPr>
          <w:rFonts w:hint="eastAsia" w:ascii="楷体_GB2312" w:hAnsi="宋体" w:eastAsia="楷体_GB2312"/>
          <w:sz w:val="24"/>
          <w:szCs w:val="28"/>
          <w:highlight w:val="none"/>
          <w:lang w:val="en-US" w:eastAsia="zh-CN"/>
        </w:rPr>
        <w:fldChar w:fldCharType="separate"/>
      </w:r>
      <w:r>
        <w:rPr>
          <w:rStyle w:val="9"/>
          <w:rFonts w:hint="eastAsia" w:ascii="楷体_GB2312" w:hAnsi="宋体" w:eastAsia="楷体_GB2312"/>
          <w:sz w:val="24"/>
          <w:szCs w:val="28"/>
          <w:highlight w:val="none"/>
          <w:lang w:val="en-US" w:eastAsia="zh-CN"/>
        </w:rPr>
        <w:t>http://www.pcida.org.cn</w:t>
      </w:r>
      <w:r>
        <w:rPr>
          <w:rFonts w:hint="eastAsia" w:ascii="楷体_GB2312" w:hAnsi="宋体" w:eastAsia="楷体_GB2312"/>
          <w:sz w:val="24"/>
          <w:szCs w:val="28"/>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 xml:space="preserve">邮箱 </w:t>
      </w:r>
      <w:r>
        <w:rPr>
          <w:rFonts w:hint="eastAsia" w:ascii="楷体_GB2312" w:hAnsi="宋体" w:eastAsia="楷体_GB2312"/>
          <w:sz w:val="24"/>
          <w:szCs w:val="28"/>
          <w:highlight w:val="none"/>
          <w:lang w:val="en-US" w:eastAsia="zh-CN"/>
        </w:rPr>
        <w:t>pyhgyjh@126.com</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版权所有 不得翻印</w:t>
      </w: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cstheme="minorEastAsia"/>
          <w:b w:val="0"/>
          <w:bCs w:val="0"/>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b w:val="0"/>
          <w:bCs w:val="0"/>
          <w:sz w:val="21"/>
          <w:szCs w:val="21"/>
          <w:u w:val="none"/>
          <w:lang w:val="en-US" w:eastAsia="zh-CN"/>
        </w:rPr>
      </w:pPr>
      <w:r>
        <w:rPr>
          <w:rFonts w:hint="eastAsia"/>
          <w:b w:val="0"/>
          <w:bCs w:val="0"/>
          <w:sz w:val="21"/>
          <w:szCs w:val="21"/>
          <w:u w:val="none"/>
          <w:lang w:val="en-US" w:eastAsia="zh-CN"/>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hYzc2ZTE1NDNkMTY4YTc1YTkyMTE2ODAyNmIwNTYifQ=="/>
  </w:docVars>
  <w:rsids>
    <w:rsidRoot w:val="00000000"/>
    <w:rsid w:val="05171224"/>
    <w:rsid w:val="093C07F8"/>
    <w:rsid w:val="095F7D37"/>
    <w:rsid w:val="108C6361"/>
    <w:rsid w:val="113F222E"/>
    <w:rsid w:val="15EF38F3"/>
    <w:rsid w:val="1BCE0BCF"/>
    <w:rsid w:val="1C9B1B6E"/>
    <w:rsid w:val="1FF02946"/>
    <w:rsid w:val="23D7559A"/>
    <w:rsid w:val="24DD33E9"/>
    <w:rsid w:val="2F9E5F1A"/>
    <w:rsid w:val="32562ADC"/>
    <w:rsid w:val="3CD25455"/>
    <w:rsid w:val="3F067638"/>
    <w:rsid w:val="3FAD7CFA"/>
    <w:rsid w:val="41D852BC"/>
    <w:rsid w:val="4B247904"/>
    <w:rsid w:val="4D3E2851"/>
    <w:rsid w:val="4D741720"/>
    <w:rsid w:val="5ADC7EF0"/>
    <w:rsid w:val="5FF36786"/>
    <w:rsid w:val="66CD060B"/>
    <w:rsid w:val="67D17AA4"/>
    <w:rsid w:val="71536E18"/>
    <w:rsid w:val="7A642950"/>
    <w:rsid w:val="7B892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caption"/>
    <w:basedOn w:val="1"/>
    <w:next w:val="1"/>
    <w:semiHidden/>
    <w:unhideWhenUsed/>
    <w:qFormat/>
    <w:uiPriority w:val="0"/>
    <w:rPr>
      <w:rFonts w:ascii="Arial" w:hAnsi="Arial" w:eastAsia="黑体"/>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1610</Words>
  <Characters>2142</Characters>
  <Lines>0</Lines>
  <Paragraphs>0</Paragraphs>
  <TotalTime>1</TotalTime>
  <ScaleCrop>false</ScaleCrop>
  <LinksUpToDate>false</LinksUpToDate>
  <CharactersWithSpaces>2568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2021-12-28T06:42:00Z</dcterms:created>
  <dc:creator>DELL</dc:creator>
  <cp:lastModifiedBy>滑晓姗</cp:lastModifiedBy>
  <cp:lastPrinted>2022-11-14T07:58:26Z</cp:lastPrinted>
  <dcterms:modified xsi:type="dcterms:W3CDTF">2022-11-14T07:58:37Z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6D28767D5F0A46C48033C430BB636BDD</vt:lpwstr>
  </property>
</Properties>
</file>